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431CA">
      <w:pPr>
        <w:jc w:val="center"/>
        <w:rPr>
          <w:rFonts w:hint="default" w:ascii="黑体" w:hAnsi="黑体" w:eastAsia="黑体" w:cs="黑体"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>平利县妇女联合会</w:t>
      </w:r>
    </w:p>
    <w:p w14:paraId="246A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highlight w:val="none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>20</w:t>
      </w:r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>25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t>年部门</w:t>
      </w:r>
      <w:r>
        <w:rPr>
          <w:rFonts w:hint="eastAsia" w:ascii="黑体" w:hAnsi="黑体" w:eastAsia="黑体" w:cs="黑体"/>
          <w:sz w:val="44"/>
          <w:szCs w:val="44"/>
          <w:highlight w:val="none"/>
          <w:lang w:eastAsia="zh-CN"/>
        </w:rPr>
        <w:t>预算公开说明</w:t>
      </w:r>
    </w:p>
    <w:p w14:paraId="41151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</w:p>
    <w:p w14:paraId="7FEBAF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目</w:t>
      </w:r>
      <w:r>
        <w:rPr>
          <w:rFonts w:hint="default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录</w:t>
      </w:r>
    </w:p>
    <w:p w14:paraId="45A6A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</w:p>
    <w:p w14:paraId="47FA1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第一部分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：部门概况</w:t>
      </w:r>
    </w:p>
    <w:p w14:paraId="58E94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一、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主要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职能及机构设置</w:t>
      </w:r>
    </w:p>
    <w:p w14:paraId="5F642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二、工作任务</w:t>
      </w:r>
    </w:p>
    <w:p w14:paraId="03009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三、预算单位构成</w:t>
      </w:r>
    </w:p>
    <w:p w14:paraId="18B8C4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四、人员情况说明</w:t>
      </w:r>
    </w:p>
    <w:p w14:paraId="01018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第二部分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：部门预算收支情况说明</w:t>
      </w:r>
    </w:p>
    <w:p w14:paraId="1CE43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五、收支预算总体情况说明</w:t>
      </w:r>
    </w:p>
    <w:p w14:paraId="24A10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六、财政拨款收支情况说明</w:t>
      </w:r>
    </w:p>
    <w:p w14:paraId="35DB2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七、一般公共预算拨款支出明细情况说明</w:t>
      </w:r>
    </w:p>
    <w:p w14:paraId="5F386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八、政府性基金预算支出情况说明</w:t>
      </w:r>
    </w:p>
    <w:p w14:paraId="43A8D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九、国有资本经营预算拨款收支情况说明</w:t>
      </w:r>
    </w:p>
    <w:p w14:paraId="6AF19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第三部分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：其他重要事项说明</w:t>
      </w:r>
    </w:p>
    <w:p w14:paraId="054B6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u w:val="singl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u w:val="none"/>
          <w:lang w:eastAsia="zh-CN"/>
        </w:rPr>
        <w:t>“三公”经费及会议费、培训费情况说明</w:t>
      </w:r>
    </w:p>
    <w:p w14:paraId="27FEDC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十一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、国有资产占有使用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及资产购置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情况说明</w:t>
      </w:r>
    </w:p>
    <w:p w14:paraId="7394A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十二、政府采购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情况说明</w:t>
      </w:r>
    </w:p>
    <w:p w14:paraId="1A5CF3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十三、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绩效目标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情况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说明</w:t>
      </w:r>
    </w:p>
    <w:p w14:paraId="398A6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十四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机关运行经费安排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情况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说明</w:t>
      </w:r>
    </w:p>
    <w:p w14:paraId="24FF6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第四部分：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专业名词解释</w:t>
      </w:r>
    </w:p>
    <w:p w14:paraId="0D8B9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第五部分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：部门预算公开报表</w:t>
      </w:r>
    </w:p>
    <w:p w14:paraId="0C35A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eastAsia="zh-CN"/>
        </w:rPr>
        <w:br w:type="page"/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第一部分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：部门概况</w:t>
      </w:r>
    </w:p>
    <w:p w14:paraId="7B4889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一、主要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职能及机构设置</w:t>
      </w:r>
    </w:p>
    <w:p w14:paraId="589A22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（一）主要职能：</w:t>
      </w:r>
    </w:p>
    <w:p w14:paraId="0BBCB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 xml:space="preserve">1.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教育引导妇女践行社会主义核心价值观，弘扬中华民族家庭美德，带动家庭成员建设文明家庭、实施科学家教、传承优良家风，发挥家庭家教家风在基层社会治理中的重要作用，推动形成社会主义家庭文明新风尚。</w:t>
      </w:r>
    </w:p>
    <w:p w14:paraId="0442A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代表妇女参与国家和社会事务的民主决策、民主管理和民主监督，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参与有关法律、法规、规章和政策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的制定，参与社会治理和公共服务，推动保障妇女权益法律政策和妇女、儿童发展纲要的实施。</w:t>
      </w:r>
    </w:p>
    <w:p w14:paraId="291D2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3.维护妇女儿童合法权益，倾听妇女意见，反映妇女诉求，保障妇女儿童合法权益，为妇女儿童提供帮助。</w:t>
      </w:r>
    </w:p>
    <w:p w14:paraId="23772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.教育引导妇女树立自尊、自信、自立、自强的精神，提高综合素质，实现全面发展。推动落实男女平等基本国策，营造尊重和关爱妇女、有利于妇女全面发展的社会环境。宣传优秀妇女典型，培养、推荐女性人才。</w:t>
      </w:r>
    </w:p>
    <w:p w14:paraId="508C84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（二）机构设置：</w:t>
      </w:r>
    </w:p>
    <w:p w14:paraId="075C8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平利县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妇女联合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会为县委工作机关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截止202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年底，本部门人员编制4人，实有人员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退休1人。</w:t>
      </w:r>
    </w:p>
    <w:p w14:paraId="7D794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二、工作任务</w:t>
      </w:r>
    </w:p>
    <w:p w14:paraId="21043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（一）重引领，围绕凝聚妇女力量。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坚持不懈用党的创新理论“铸魂”，坚持旗帜鲜明讲政治抓政治，引领广大妇女以实际行动践行“两个维护”、“两个确立”、“四个意识”、“四个自信”。</w:t>
      </w:r>
    </w:p>
    <w:p w14:paraId="71DAD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（二）强家教，深化家庭文明建设。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提升专业师资团队和公益讲师团业务水平，为辖区家庭提供健康、安全、法律知识普及服务。充分发挥“最美家庭”“好婆婆”“好媳妇”等典型引领作用，以家庭和谐促进社会和谐。</w:t>
      </w:r>
    </w:p>
    <w:p w14:paraId="52273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（三）抓维权，提升妇儿幸福指数。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发挥网格+妇联作用，让妇女网格员和基层妇联执委双向履职，做到把妇联维权工作和关爱服务做在平常、抓在经常、落到基层。深化“爱心妈妈”结对帮扶活动，让更多的未成年人感受到党和国家的温暖。</w:t>
      </w:r>
    </w:p>
    <w:p w14:paraId="2E2E1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(四）促振兴，实施振兴巾帼行动。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培育一批巾帼新农人和巾帼特色产业示范基地。充分调动广大妇女，积极参与“和美庭院”建设，从而美化乡村、扮靓家庭。</w:t>
      </w:r>
    </w:p>
    <w:p w14:paraId="21678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（五）抓队伍，提升妇联服务能力。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大力推进“三新”领域妇联组织建设扩面工作，让“三新”领域妇联组织成为党联系“三新”领域妇女群众的“坚强阵地”和“温暖之家”。加强妇联队伍建设工作，继续落实好妇联执委联系群众工作制度和妇联执委轮值工作制度，不断提升妇联队伍履职能力和服务水平。</w:t>
      </w:r>
    </w:p>
    <w:p w14:paraId="0D71A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三、预算单位构成</w:t>
      </w:r>
    </w:p>
    <w:p w14:paraId="37999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从预算单位构成看，本部门的部门预算包括部门本级（机关）预算。纳入2025年本部门预算编制范围的单位共1个：平利县妇女联合会。</w:t>
      </w:r>
    </w:p>
    <w:p w14:paraId="293A7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9"/>
        <w:gridCol w:w="4912"/>
        <w:gridCol w:w="2011"/>
      </w:tblGrid>
      <w:tr w14:paraId="3A354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9" w:type="dxa"/>
            <w:noWrap w:val="0"/>
            <w:vAlign w:val="top"/>
          </w:tcPr>
          <w:p w14:paraId="4A36BA9A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  <w:t>序号</w:t>
            </w:r>
          </w:p>
        </w:tc>
        <w:tc>
          <w:tcPr>
            <w:tcW w:w="4912" w:type="dxa"/>
            <w:noWrap w:val="0"/>
            <w:vAlign w:val="top"/>
          </w:tcPr>
          <w:p w14:paraId="28C2652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  <w:t>单位名称</w:t>
            </w:r>
          </w:p>
        </w:tc>
        <w:tc>
          <w:tcPr>
            <w:tcW w:w="2011" w:type="dxa"/>
            <w:noWrap w:val="0"/>
            <w:vAlign w:val="top"/>
          </w:tcPr>
          <w:p w14:paraId="65D82D3F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eastAsia="zh-CN"/>
              </w:rPr>
              <w:t>拟变动情况</w:t>
            </w:r>
          </w:p>
        </w:tc>
      </w:tr>
      <w:tr w14:paraId="1B8B6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9" w:type="dxa"/>
            <w:noWrap w:val="0"/>
            <w:vAlign w:val="top"/>
          </w:tcPr>
          <w:p w14:paraId="182637BC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912" w:type="dxa"/>
            <w:noWrap w:val="0"/>
            <w:vAlign w:val="top"/>
          </w:tcPr>
          <w:p w14:paraId="76F70ECA">
            <w:pP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/>
              </w:rPr>
              <w:t>平利县妇女联合会本级（机关）</w:t>
            </w:r>
          </w:p>
        </w:tc>
        <w:tc>
          <w:tcPr>
            <w:tcW w:w="2011" w:type="dxa"/>
            <w:noWrap w:val="0"/>
            <w:vAlign w:val="top"/>
          </w:tcPr>
          <w:p w14:paraId="2FCBEA61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t>无</w:t>
            </w:r>
          </w:p>
        </w:tc>
      </w:tr>
    </w:tbl>
    <w:p w14:paraId="039C0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四、人员情况说明</w:t>
      </w:r>
    </w:p>
    <w:p w14:paraId="2F1AD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截止2024年底，本部门人员编制4人，其中行政编制4人，事业编制0人；实有人员3人，其中行政编制3人，事业编制0人。单位管理的离退休人员1人。</w:t>
      </w:r>
    </w:p>
    <w:p w14:paraId="06D61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4819650" cy="2743200"/>
            <wp:effectExtent l="4445" t="4445" r="14605" b="14605"/>
            <wp:docPr id="6" name="图表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28DE0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</w:p>
    <w:p w14:paraId="0658A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第二部分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：部门预算收支情况说明</w:t>
      </w:r>
    </w:p>
    <w:p w14:paraId="30A716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五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、收支预算总体情况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说明</w:t>
      </w:r>
    </w:p>
    <w:p w14:paraId="07B3A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按照综合预算的原则，本部门所有收入和支出均纳入部门预算管理。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本部门当年预算收入82.77万元，其中一般公共预算拨款收入82.77万元、政府性基金拨款收入0万元，较上年增加2.23万元，主要原因是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；本部门当年预算支出82.77万元，其中一般公共预算拨款支出82.77万元、政府性基金拨款支出0万元，较上年增加2.23万元，主要原因是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。</w:t>
      </w:r>
    </w:p>
    <w:p w14:paraId="6AEF6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六、财政拨款收支情况说明</w:t>
      </w:r>
    </w:p>
    <w:p w14:paraId="7957D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本部门当年财政拨款收入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82.77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万元，其中一般公共预算拨款收入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82.77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万元、政府性基金拨款收入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万元，较上年增加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2.23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万元，主要原因是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调入1人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；本部门当年财政拨款支出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82.77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万元，其中一般公共预算拨款支出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82.77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万元、政府性基金拨款支出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万元，较上年增加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2.23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76936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七、一般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公共预算拨款支出明细情况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说明</w:t>
      </w:r>
    </w:p>
    <w:p w14:paraId="3AEB7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eastAsia="zh-CN"/>
        </w:rPr>
        <w:t>一般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</w:rPr>
        <w:t>公共预算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eastAsia="zh-CN"/>
        </w:rPr>
        <w:t>当年拨款规模变化情况</w:t>
      </w:r>
    </w:p>
    <w:p w14:paraId="38638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本部门当年一般公共预算拨款支出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82.77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万元，较上年增加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2.23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62732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（二）支出按功能科目分类的明细情况</w:t>
      </w:r>
    </w:p>
    <w:p w14:paraId="3352A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本部门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当年一般公共预算支出82.77万元，其中：</w:t>
      </w:r>
    </w:p>
    <w:p w14:paraId="1ACE2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行政运行（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2012901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36.43万元，较上年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减少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9.16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原因是行政支出减少。</w:t>
      </w:r>
    </w:p>
    <w:p w14:paraId="735B6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2.一般行政管理事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务（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2012902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20万元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较上年无变化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，原因是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无增加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或减少经费请款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5D7B5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3.其他群众团体事务支出（2012999）10万元，较上年增加10万元，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主要原因是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专项业务经费支出增多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。</w:t>
      </w:r>
    </w:p>
    <w:p w14:paraId="433760B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4.行政单位离退休（2080501）1.22万元，较上年增加0.85万元，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。</w:t>
      </w:r>
    </w:p>
    <w:p w14:paraId="0C83A1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5.机关事业单位基本养老保险缴纳支出（2080505）：5.06万元，较上年减少0.44万元，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。</w:t>
      </w:r>
    </w:p>
    <w:p w14:paraId="13CCC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机关事业单位职业年金缴费支出（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2080506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4.67万元，较上年增加1.92万元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按照实有人数核算填列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 w14:paraId="02ADB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行政单位医疗（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2101101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1.5万元，较上年增加1万元，主要原因是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按照实有人数核算填列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 w14:paraId="3F3BB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8.公务员医疗补助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2101103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0.44万元；较上年减少0.19万元，主要原因是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按照实有人数核算填列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 w14:paraId="0EBC66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9.住房公积金支出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2210201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3.46万元，较上年减少0.67万元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主要原因是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按照实有人数核算填列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</w:t>
      </w:r>
    </w:p>
    <w:p w14:paraId="5519F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highlight w:val="none"/>
          <w:lang w:val="en-US" w:eastAsia="zh-CN"/>
        </w:rPr>
        <w:t>（三）支出按经济科目分类的明细情况</w:t>
      </w:r>
    </w:p>
    <w:p w14:paraId="0DB4B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1.本部门当年一般公共预算支出82.77万元，其中：</w:t>
      </w:r>
    </w:p>
    <w:p w14:paraId="19FF7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工资福利支出（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301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44.67万元，较上年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减少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7.15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万元，原因是</w:t>
      </w:r>
      <w:r>
        <w:rPr>
          <w:rFonts w:ascii="仿宋" w:hAnsi="仿宋" w:eastAsia="仿宋" w:cs="仿宋"/>
          <w:b w:val="0"/>
          <w:bCs w:val="0"/>
          <w:color w:val="auto"/>
          <w:sz w:val="32"/>
          <w:szCs w:val="32"/>
        </w:rPr>
        <w:t>按照实有人数核算填列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7787E9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商品和服务支出（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302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36.6万元，较上年增加9.13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万元，原因是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活动经费增多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1126A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对个人和家庭的补助支出（303）1.5万元，较上年增加0.3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万元，原因是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关心关爱困境妇女儿童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5E3933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2.本部门当年一般公共预算支出82.77万元，其中：</w:t>
      </w:r>
    </w:p>
    <w:p w14:paraId="58826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机关工资福利支出（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501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44.67万元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较上年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减少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7.15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万元，原因是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人员退休工资调减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。</w:t>
      </w:r>
    </w:p>
    <w:p w14:paraId="16D3B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机关商品和服务支出（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502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36.6万元，较上年增加9.13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万元，原因是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活动经费增多。</w:t>
      </w:r>
    </w:p>
    <w:p w14:paraId="7FC8B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  <w:color w:val="auto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对个人和家庭的补助支出（509）1.5万元，较上年增加0.3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万元，原因是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关心关爱困境妇女儿童。</w:t>
      </w:r>
    </w:p>
    <w:p w14:paraId="09AFE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八、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政府性基金预算支出情况</w:t>
      </w:r>
    </w:p>
    <w:p w14:paraId="1159D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本部门无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当年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政府性基金预算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收支，并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已公开空表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。</w:t>
      </w:r>
    </w:p>
    <w:p w14:paraId="44696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九、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国有资本经营预算拨款收支情况</w:t>
      </w:r>
    </w:p>
    <w:p w14:paraId="18CE0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本部门无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当年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国有资本经营预算收支。</w:t>
      </w:r>
    </w:p>
    <w:p w14:paraId="38AAD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第三部分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：其他重要事项说明</w:t>
      </w:r>
    </w:p>
    <w:p w14:paraId="0A00F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singl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none"/>
          <w:lang w:eastAsia="zh-CN"/>
        </w:rPr>
        <w:t>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none"/>
        </w:rPr>
        <w:t>、“三公”经费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none"/>
          <w:lang w:eastAsia="zh-CN"/>
        </w:rPr>
        <w:t>及会议费、培训费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none"/>
        </w:rPr>
        <w:t>情况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u w:val="none"/>
          <w:lang w:eastAsia="zh-CN"/>
        </w:rPr>
        <w:t>说明</w:t>
      </w:r>
    </w:p>
    <w:p w14:paraId="4FA06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本部门当年一般公共预算“三公”经费预算支出0万元，较上年无变化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u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本部门当年一般公共预算未安排会议费、培训费支出，较上年无变化。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u w:val="none"/>
          <w:lang w:val="en-US" w:eastAsia="zh-CN"/>
        </w:rPr>
        <w:t xml:space="preserve">  </w:t>
      </w:r>
    </w:p>
    <w:p w14:paraId="60F43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十一、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国有资产占有使用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及资产购置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情况说明</w:t>
      </w:r>
    </w:p>
    <w:p w14:paraId="179CD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截至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上年底，本部门所属预算单位共有车辆0辆，单价20万元以上的设备0台（套）。当年部门预算安排购置车辆0辆；安排购置单价20万元以上的设备0台（套）。</w:t>
      </w:r>
    </w:p>
    <w:p w14:paraId="59B29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十二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、政府采购情况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说明</w:t>
      </w:r>
    </w:p>
    <w:p w14:paraId="4CEED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本部门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当年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无政府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采购预算，并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>已公开空表。</w:t>
      </w:r>
    </w:p>
    <w:p w14:paraId="48348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十三、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绩效目标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情况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说明</w:t>
      </w:r>
    </w:p>
    <w:p w14:paraId="0080DB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本部门绩效目标管理全覆盖，涉及当年一般公共预算拨款82.77万元,政府性基金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预算拨款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0万元，国有资本经营预算拨款0万元（详见公开报表中的绩效目标表）。</w:t>
      </w:r>
    </w:p>
    <w:p w14:paraId="42B5E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十四、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机关运行经费安排情况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说明</w:t>
      </w:r>
    </w:p>
    <w:p w14:paraId="00315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本部门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当年机关运行经费预算安排4万元，与上年经费预算相等。</w:t>
      </w:r>
    </w:p>
    <w:p w14:paraId="4F45A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第四部分：专业名词解释</w:t>
      </w:r>
    </w:p>
    <w:p w14:paraId="2558A2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一、机关运行经费：指各部门的公用经费，包括办公及印刷费、邮电费、差旅费、会议费、培训费、日常维修费、办公用房水电费、办公用房取暖费、公务用车运行维护费、公务接待费以及其他费用。</w:t>
      </w:r>
    </w:p>
    <w:p w14:paraId="2AECF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二、项目支出：指单位为完成行政工作任务或事业发展目标所发生的各项支出。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</w:rPr>
        <w:tab/>
      </w:r>
    </w:p>
    <w:p w14:paraId="33A0C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</w:pPr>
    </w:p>
    <w:p w14:paraId="52A26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第五部分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：部门预算公开报表</w:t>
      </w:r>
    </w:p>
    <w:p w14:paraId="3B3B532C">
      <w:pPr>
        <w:pStyle w:val="2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</w:p>
    <w:p w14:paraId="689897C2">
      <w:pPr>
        <w:pStyle w:val="2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</w:p>
    <w:p w14:paraId="3127387E">
      <w:pPr>
        <w:pStyle w:val="2"/>
        <w:ind w:left="0" w:leftChars="0" w:firstLine="0" w:firstLineChars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E718BED">
      <w:pP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8857615" cy="5028565"/>
            <wp:effectExtent l="0" t="0" r="635" b="635"/>
            <wp:docPr id="1" name="图片 1" descr="bc48776f780dfd099bb9397892a88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48776f780dfd099bb9397892a880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FB9B">
      <w:pPr>
        <w:pStyle w:val="2"/>
        <w:ind w:left="0" w:leftChars="0" w:firstLine="0" w:firstLineChars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 w14:paraId="31F9DF29">
      <w:pPr>
        <w:pStyle w:val="2"/>
        <w:ind w:left="0" w:leftChars="0" w:firstLine="0" w:firstLineChars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396" w:tblpY="638"/>
        <w:tblOverlap w:val="never"/>
        <w:tblW w:w="96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243"/>
        <w:gridCol w:w="488"/>
        <w:gridCol w:w="489"/>
        <w:gridCol w:w="489"/>
        <w:gridCol w:w="489"/>
        <w:gridCol w:w="489"/>
        <w:gridCol w:w="489"/>
        <w:gridCol w:w="489"/>
        <w:gridCol w:w="2002"/>
        <w:gridCol w:w="983"/>
        <w:gridCol w:w="2094"/>
      </w:tblGrid>
      <w:tr w14:paraId="48BBE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9660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97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目录</w:t>
            </w:r>
          </w:p>
        </w:tc>
      </w:tr>
      <w:tr w14:paraId="7E79A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3F3C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报表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9C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报表名称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3BB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是否空表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32A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公开空表理由</w:t>
            </w:r>
          </w:p>
        </w:tc>
      </w:tr>
      <w:tr w14:paraId="6958F9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91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AD04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6B2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部门综合预算收支总表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76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8AFA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A058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16D2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表2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0E6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部门综合预算收入总表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64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7BF0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C718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4590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表3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656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部门综合预算支出总表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DCA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B2FD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DF33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367C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表4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660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部门综合预算财政拨款收支总表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8E2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640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1248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E82C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表5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425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部门综合预算一般公共预算支出明细表（按支出功能分类科目）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071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E40E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3AFA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EADF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表6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4DC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部门综合预算一般公共预算支出明细表（按支出经济分类科目）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9B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EA8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4169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116A3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表7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6FA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部门综合预算一般公共预算基本支出明细表（按支出功能分类科目）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2B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B8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9993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8DEF3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表8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30D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部门综合预算一般公共预算基本支出明细表（按支出经济分类科目）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D6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943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6B97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B9FA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表9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712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部门综合预算政府性基金收支表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4E4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467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无政府基金收入</w:t>
            </w:r>
          </w:p>
        </w:tc>
      </w:tr>
      <w:tr w14:paraId="18FA1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7AB5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表10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7B2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部门综合预算专项业务经费支出表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4F0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85B9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297D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17CD4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DE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部门综合预算政府采购（资产配置、购买服务）预算表（不含上年结转）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C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0E5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无政府采购计划</w:t>
            </w:r>
          </w:p>
        </w:tc>
      </w:tr>
      <w:tr w14:paraId="47FE2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8D7B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DA9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部门综合预算一般公共预算拨款“三公”经费及会议费、培训费支出预算表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780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是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5FA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2025年初未预算三公经费</w:t>
            </w:r>
          </w:p>
        </w:tc>
      </w:tr>
      <w:tr w14:paraId="79B4B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7D86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BFD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部门专项业务经费绩效目标表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0C7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949B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 w14:paraId="72BD6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A814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A3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部门整体支出绩效目标表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451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897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 w14:paraId="07E2D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1E66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表1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66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A0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专项资金总体绩效目标表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BAE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否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5AF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0" w:lineRule="atLeast"/>
              <w:ind w:leftChars="10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 w14:paraId="4738D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935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9EFC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8E4ED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E4EF7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4B20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E0E2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DDC38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2A1DE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8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EF568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0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A01F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6F0CB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1BCB7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3DED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9660" w:type="dxa"/>
            <w:gridSpan w:val="1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D525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注：1.封面和目录的格式不得随意改变。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2.公开空表一定要在目录说明理由。</w:t>
            </w:r>
          </w:p>
        </w:tc>
      </w:tr>
    </w:tbl>
    <w:p w14:paraId="6CFACD3F">
      <w:pPr>
        <w:pStyle w:val="5"/>
        <w:ind w:left="0" w:leftChars="0" w:firstLine="0" w:firstLineChars="0"/>
        <w:rPr>
          <w:rFonts w:hint="eastAsia" w:eastAsia="宋体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D543FF2">
      <w:pPr>
        <w:pStyle w:val="2"/>
        <w:ind w:left="0" w:leftChars="0" w:firstLine="0" w:firstLineChars="0"/>
        <w:jc w:val="center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7756525" cy="5942965"/>
            <wp:effectExtent l="0" t="0" r="15875" b="635"/>
            <wp:docPr id="16" name="图片 16" descr="250430222c14bafa15fe4ff7f1307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0430222c14bafa15fe4ff7f1307a64"/>
                    <pic:cNvPicPr>
                      <a:picLocks noChangeAspect="1"/>
                    </pic:cNvPicPr>
                  </pic:nvPicPr>
                  <pic:blipFill>
                    <a:blip r:embed="rId6"/>
                    <a:srcRect l="15663" t="4251" r="17570" b="8852"/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B3C8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4440" cy="2330450"/>
            <wp:effectExtent l="0" t="0" r="3810" b="12700"/>
            <wp:docPr id="20" name="图片 20" descr="d85594d81e4f6dfe63f2bffea593b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5594d81e4f6dfe63f2bffea593b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153E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5075" cy="2616835"/>
            <wp:effectExtent l="0" t="0" r="3175" b="12065"/>
            <wp:docPr id="21" name="图片 21" descr="05fc1546828b442ebe36985396c74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5fc1546828b442ebe36985396c74d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0530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7860030" cy="5269230"/>
            <wp:effectExtent l="0" t="0" r="7620" b="7620"/>
            <wp:docPr id="22" name="图片 22" descr="5c2eaff95264333ab545a46bff831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c2eaff95264333ab545a46bff831b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7EA3">
      <w:pPr>
        <w:pStyle w:val="2"/>
        <w:ind w:left="0" w:leftChars="0" w:firstLine="0" w:firstLineChars="0"/>
        <w:jc w:val="center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7594600" cy="5268595"/>
            <wp:effectExtent l="0" t="0" r="6350" b="8255"/>
            <wp:docPr id="8" name="图片 8" descr="19cd042a188440eaf7c0a02a4a33a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cd042a188440eaf7c0a02a4a33a5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54F0">
      <w:pPr>
        <w:pStyle w:val="2"/>
        <w:ind w:left="0" w:leftChars="0" w:firstLine="0" w:firstLineChars="0"/>
        <w:jc w:val="center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083550" cy="5269865"/>
            <wp:effectExtent l="0" t="0" r="12700" b="6985"/>
            <wp:docPr id="9" name="图片 9" descr="01f9b4624ab4caae2da29e65ebc7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f9b4624ab4caae2da29e65ebc701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071485" cy="5271135"/>
            <wp:effectExtent l="0" t="0" r="5715" b="5715"/>
            <wp:docPr id="10" name="图片 10" descr="1fa26a5f1fbfa5d56b8d5ed9a7594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fa26a5f1fbfa5d56b8d5ed9a75945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7148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2842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8250" cy="3958590"/>
            <wp:effectExtent l="0" t="0" r="0" b="3810"/>
            <wp:docPr id="3" name="图片 3" descr="326d699391254c8d121f75a378f4c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6d699391254c8d121f75a378f4cb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61425" cy="5649595"/>
            <wp:effectExtent l="0" t="0" r="15875" b="8255"/>
            <wp:docPr id="31" name="图片 31" descr="1b7fc885c8130ec7a9b056a957c4e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b7fc885c8130ec7a9b056a957c4e6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3805" cy="4540250"/>
            <wp:effectExtent l="0" t="0" r="4445" b="12700"/>
            <wp:docPr id="5" name="图片 5" descr="41648258567098af659c7ab08fd3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648258567098af659c7ab08fd336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9520" cy="2096135"/>
            <wp:effectExtent l="0" t="0" r="17780" b="18415"/>
            <wp:docPr id="7" name="图片 7" descr="87d948645ae0f6f9b635b29e1e1dc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d948645ae0f6f9b635b29e1e1dc9f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49FB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</w:p>
    <w:p w14:paraId="0A100602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</w:p>
    <w:p w14:paraId="36D20F3F">
      <w:pPr>
        <w:pStyle w:val="2"/>
        <w:ind w:left="0" w:leftChars="0" w:firstLine="0" w:firstLineChars="0"/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</w:pPr>
    </w:p>
    <w:p w14:paraId="1CF7EAC2">
      <w:pP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position w:val="17"/>
          <w:sz w:val="28"/>
          <w:szCs w:val="28"/>
          <w:u w:val="single"/>
          <w:lang w:eastAsia="zh-CN"/>
        </w:rPr>
        <w:drawing>
          <wp:inline distT="0" distB="0" distL="114300" distR="114300">
            <wp:extent cx="8858885" cy="1810385"/>
            <wp:effectExtent l="0" t="0" r="18415" b="18415"/>
            <wp:docPr id="34" name="图片 34" descr="88d8cf12fe9a635e8b0d2100cca5a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8d8cf12fe9a635e8b0d2100cca5a6c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3FFD">
      <w:pPr>
        <w:pStyle w:val="2"/>
        <w:ind w:left="0" w:leftChars="0" w:firstLine="0" w:firstLineChars="0"/>
        <w:rPr>
          <w:rFonts w:hint="default" w:eastAsia="宋体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8595" cy="8719820"/>
            <wp:effectExtent l="0" t="0" r="8255" b="5080"/>
            <wp:docPr id="24" name="图片 24" descr="妇儿工委专项经费绩效表_2024年部门专项业务经费重点项目绩效目标表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妇儿工委专项经费绩效表_2024年部门专项业务经费重点项目绩效目标表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29A3">
      <w:pPr>
        <w:jc w:val="center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531485" cy="8374380"/>
            <wp:effectExtent l="0" t="0" r="12065" b="7620"/>
            <wp:docPr id="17" name="图片 17" descr="2025年妇联业务费绩效表_2024年部门专项业务经费重点项目绩效目标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妇联业务费绩效表_2024年部门专项业务经费重点项目绩效目标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B5FF"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72405" cy="6739255"/>
            <wp:effectExtent l="0" t="0" r="4445" b="4445"/>
            <wp:docPr id="18" name="图片 18" descr="三八、六一活动补充经费绩效表_2024年部门专项业务经费重点项目绩效目标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三八、六一活动补充经费绩效表_2024年部门专项业务经费重点项目绩效目标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7137"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72405" cy="6348730"/>
            <wp:effectExtent l="0" t="0" r="4445" b="13970"/>
            <wp:docPr id="19" name="图片 19" descr="三八、六一专项经费绩效表_2024年部门专项业务经费重点项目绩效目标表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三八、六一专项经费绩效表_2024年部门专项业务经费重点项目绩效目标表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04EC"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72405" cy="6909435"/>
            <wp:effectExtent l="0" t="0" r="4445" b="5715"/>
            <wp:docPr id="27" name="图片 27" descr="三八活动经费绩效表_2024年部门专项业务经费重点项目绩效目标表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三八活动经费绩效表_2024年部门专项业务经费重点项目绩效目标表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75DA"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5420" cy="7833360"/>
            <wp:effectExtent l="0" t="0" r="11430" b="15240"/>
            <wp:docPr id="26" name="图片 26" descr="2025年部门整体支出绩效目标表_ 2024年部门整体支出绩效目标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5年部门整体支出绩效目标表_ 2024年部门整体支出绩效目标表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1E0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8321675"/>
            <wp:effectExtent l="0" t="0" r="10160" b="3175"/>
            <wp:docPr id="25" name="图片 25" descr="2025年部门预算专项业务经费绩效目标表_2024年专项资金整体绩效目标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5年部门预算专项业务经费绩效目标表_2024年专项资金整体绩效目标表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430E9D"/>
    <w:rsid w:val="01ED0EB7"/>
    <w:rsid w:val="025D5D57"/>
    <w:rsid w:val="0305345B"/>
    <w:rsid w:val="068E3768"/>
    <w:rsid w:val="06AF3C28"/>
    <w:rsid w:val="06F2019A"/>
    <w:rsid w:val="07BA3590"/>
    <w:rsid w:val="08640C24"/>
    <w:rsid w:val="0901568E"/>
    <w:rsid w:val="0C252478"/>
    <w:rsid w:val="0D2564A8"/>
    <w:rsid w:val="0D3079D1"/>
    <w:rsid w:val="0E203EBE"/>
    <w:rsid w:val="1074577C"/>
    <w:rsid w:val="11B23646"/>
    <w:rsid w:val="12FD1BFF"/>
    <w:rsid w:val="14C67113"/>
    <w:rsid w:val="15296244"/>
    <w:rsid w:val="157626CE"/>
    <w:rsid w:val="165F6ECF"/>
    <w:rsid w:val="16DF591A"/>
    <w:rsid w:val="17793FC0"/>
    <w:rsid w:val="17CA481C"/>
    <w:rsid w:val="18463EA2"/>
    <w:rsid w:val="19AF4C92"/>
    <w:rsid w:val="19FC60FA"/>
    <w:rsid w:val="1AB175CD"/>
    <w:rsid w:val="1DC67833"/>
    <w:rsid w:val="1E74728F"/>
    <w:rsid w:val="1ECE50AB"/>
    <w:rsid w:val="1FAB4F33"/>
    <w:rsid w:val="20D07F44"/>
    <w:rsid w:val="22365F50"/>
    <w:rsid w:val="233F1C1A"/>
    <w:rsid w:val="23AC3027"/>
    <w:rsid w:val="26D47640"/>
    <w:rsid w:val="295E5B6D"/>
    <w:rsid w:val="29C83AD4"/>
    <w:rsid w:val="2C5129BE"/>
    <w:rsid w:val="2C55425C"/>
    <w:rsid w:val="2CF9108B"/>
    <w:rsid w:val="2D4A67A0"/>
    <w:rsid w:val="2DB631E5"/>
    <w:rsid w:val="2DE75AD8"/>
    <w:rsid w:val="2F974B8C"/>
    <w:rsid w:val="3071284A"/>
    <w:rsid w:val="31C75BFC"/>
    <w:rsid w:val="31FB58A6"/>
    <w:rsid w:val="32761E1F"/>
    <w:rsid w:val="32867865"/>
    <w:rsid w:val="35E90253"/>
    <w:rsid w:val="3B9E3277"/>
    <w:rsid w:val="3BDD7DCA"/>
    <w:rsid w:val="3DEE759F"/>
    <w:rsid w:val="3F430E9D"/>
    <w:rsid w:val="4379131B"/>
    <w:rsid w:val="48401E0D"/>
    <w:rsid w:val="49105C83"/>
    <w:rsid w:val="4A835FE1"/>
    <w:rsid w:val="518E3BE9"/>
    <w:rsid w:val="55844D91"/>
    <w:rsid w:val="57713D91"/>
    <w:rsid w:val="5A9304C2"/>
    <w:rsid w:val="5CC42BB4"/>
    <w:rsid w:val="5D645056"/>
    <w:rsid w:val="60430294"/>
    <w:rsid w:val="607060D3"/>
    <w:rsid w:val="64395C36"/>
    <w:rsid w:val="64E2007C"/>
    <w:rsid w:val="66171FA7"/>
    <w:rsid w:val="68F510F7"/>
    <w:rsid w:val="702F6FF3"/>
    <w:rsid w:val="705D199D"/>
    <w:rsid w:val="729606F7"/>
    <w:rsid w:val="745A5839"/>
    <w:rsid w:val="750A2CD7"/>
    <w:rsid w:val="76356FA4"/>
    <w:rsid w:val="76571F4C"/>
    <w:rsid w:val="77F43111"/>
    <w:rsid w:val="79933896"/>
    <w:rsid w:val="7AC34054"/>
    <w:rsid w:val="7C021B97"/>
    <w:rsid w:val="7EB6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customStyle="1" w:styleId="5">
    <w:name w:val="index 81"/>
    <w:basedOn w:val="1"/>
    <w:next w:val="1"/>
    <w:qFormat/>
    <w:uiPriority w:val="0"/>
    <w:pPr>
      <w:ind w:left="294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rgbClr val="404040">
                    <a:lumMod val="75000"/>
                    <a:lumOff val="2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t>人员结构图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[工作簿1]Sheet1!$B$2</c:f>
              <c:strCache>
                <c:ptCount val="1"/>
                <c:pt idx="0">
                  <c:v>人数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rgbClr val="4F81BD"/>
              </a:solidFill>
              <a:ln>
                <a:solidFill>
                  <a:srgbClr val="FFFFFF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C0504D"/>
              </a:solidFill>
              <a:ln>
                <a:solidFill>
                  <a:srgbClr val="FFFFFF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9BBB59"/>
              </a:solidFill>
              <a:ln>
                <a:solidFill>
                  <a:srgbClr val="FFFFFF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rgbClr val="404040">
                        <a:lumMod val="75000"/>
                        <a:lumOff val="25000"/>
                      </a:srgb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rgbClr val="A6A6A6">
                          <a:lumMod val="35000"/>
                          <a:lumOff val="65000"/>
                        </a:srgb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[工作簿1]Sheet1!$A$3:$A$5</c:f>
              <c:strCache>
                <c:ptCount val="3"/>
                <c:pt idx="0">
                  <c:v>行政人员</c:v>
                </c:pt>
                <c:pt idx="1">
                  <c:v>事业人员</c:v>
                </c:pt>
                <c:pt idx="2">
                  <c:v>离退休人员</c:v>
                </c:pt>
              </c:strCache>
            </c:strRef>
          </c:cat>
          <c:val>
            <c:numRef>
              <c:f>[工作簿1]Sheet1!$B$3:$B$5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rgbClr val="595959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b44e1b6-15c1-42eb-b2a3-c475410bf6f8}"/>
      </c:ext>
    </c:extLst>
  </c:chart>
  <c:spPr>
    <a:solidFill>
      <a:srgbClr val="FFFFFF"/>
    </a:solidFill>
    <a:ln w="9525" cap="flat" cmpd="sng" algn="ctr">
      <a:solidFill>
        <a:srgbClr val="D9D9D9">
          <a:lumMod val="15000"/>
          <a:lumOff val="85000"/>
        </a:srgb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rgbClr val="4F81BD"/>
  <a:srgbClr val="C0504D"/>
  <a:srgbClr val="9BBB59"/>
  <a:srgbClr val="8064A2"/>
  <a:srgbClr val="4BACC6"/>
  <a:srgbClr val="F7964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82">
  <cs:axisTitle>
    <cs:lnRef idx="0"/>
    <cs:fillRef idx="0"/>
    <cs:effectRef idx="0"/>
    <cs:fontRef idx="minor">
      <a:srgbClr val="595959">
        <a:lumMod val="65000"/>
        <a:lumOff val="35000"/>
      </a:srgbClr>
    </cs:fontRef>
    <cs:defRPr sz="1000" kern="1200"/>
  </cs:axisTitle>
  <cs:categoryAxis>
    <cs:lnRef idx="0"/>
    <cs:fillRef idx="0"/>
    <cs:effectRef idx="0"/>
    <cs:fontRef idx="minor">
      <a:srgbClr val="595959">
        <a:lumMod val="65000"/>
        <a:lumOff val="35000"/>
      </a:srgbClr>
    </cs:fontRef>
    <cs:spPr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chartArea>
  <cs:dataLabel>
    <cs:lnRef idx="0"/>
    <cs:fillRef idx="0"/>
    <cs:effectRef idx="0"/>
    <cs:fontRef idx="minor">
      <a:srgbClr val="404040">
        <a:lumMod val="75000"/>
        <a:lumOff val="25000"/>
      </a:srgbClr>
    </cs:fontRef>
    <cs:defRPr sz="1000" kern="1200"/>
  </cs:dataLabel>
  <cs:dataLabelCallout>
    <cs:lnRef idx="0"/>
    <cs:fillRef idx="0"/>
    <cs:effectRef idx="0"/>
    <cs:fontRef idx="minor">
      <a:srgbClr val="595959">
        <a:lumMod val="65000"/>
        <a:lumOff val="35000"/>
      </a:srgbClr>
    </cs:fontRef>
    <cs:spPr>
      <a:solidFill>
        <a:srgbClr val="FFFFFF"/>
      </a:solidFill>
      <a:ln>
        <a:solidFill>
          <a:srgbClr val="BFBFBF">
            <a:lumMod val="25000"/>
            <a:lumOff val="75000"/>
          </a:srgb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rgbClr val="000000"/>
    </cs:fontRef>
    <cs:spPr>
      <a:ln>
        <a:solidFill>
          <a:srgbClr val="FFFFFF"/>
        </a:solidFill>
      </a:ln>
      <a:effectLst/>
    </cs:spPr>
  </cs:dataPoint>
  <cs:dataPoint3D>
    <cs:lnRef idx="0"/>
    <cs:fillRef idx="1">
      <cs:styleClr val="auto"/>
    </cs:fillRef>
    <cs:effectRef idx="0"/>
    <cs:fontRef idx="minor">
      <a:srgbClr val="000000"/>
    </cs:fontRef>
    <cs:spPr>
      <a:ln w="25400">
        <a:solidFill>
          <a:srgbClr val="FFFFFF"/>
        </a:solidFill>
      </a:ln>
    </cs:spPr>
  </cs:dataPoint3D>
  <cs:dataPointLine>
    <cs:lnRef idx="0">
      <cs:styleClr val="auto"/>
    </cs:lnRef>
    <cs:fillRef idx="0"/>
    <cs:effectRef idx="0"/>
    <cs:fontRef idx="minor">
      <a:srgbClr val="000000"/>
    </cs:fontRef>
    <cs:spPr>
      <a:ln w="28575" cap="rnd">
        <a:solidFill>
          <a:srgbClr val="FFFFFF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rgbClr val="000000"/>
    </cs:fontRef>
    <cs:spPr>
      <a:ln w="9525">
        <a:solidFill>
          <a:srgbClr val="FFFFFF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rgbClr val="000000"/>
    </cs:fontRef>
    <cs:spPr>
      <a:ln w="9525" cap="rnd">
        <a:solidFill>
          <a:srgbClr val="FFFFFF"/>
        </a:solidFill>
        <a:round/>
      </a:ln>
    </cs:spPr>
  </cs:dataPointWireframe>
  <cs:dataTable>
    <cs:lnRef idx="0"/>
    <cs:fillRef idx="0"/>
    <cs:effectRef idx="0"/>
    <cs:fontRef idx="minor">
      <a:srgbClr val="595959">
        <a:lumMod val="65000"/>
        <a:lumOff val="35000"/>
      </a:srgbClr>
    </cs:fontRef>
    <cs:spPr>
      <a:noFill/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dataTable>
  <cs:downBar>
    <cs:lnRef idx="0"/>
    <cs:fillRef idx="0"/>
    <cs:effectRef idx="0"/>
    <cs:fontRef idx="minor">
      <a:srgbClr val="000000"/>
    </cs:fontRef>
    <cs:spPr>
      <a:solidFill>
        <a:srgbClr val="404040">
          <a:lumMod val="75000"/>
          <a:lumOff val="25000"/>
        </a:srgbClr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downBar>
  <cs:drop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dropLine>
  <cs:errorBar>
    <cs:lnRef idx="0"/>
    <cs:fillRef idx="0"/>
    <cs:effectRef idx="0"/>
    <cs:fontRef idx="minor">
      <a:srgbClr val="000000"/>
    </cs:fontRef>
    <cs:spPr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errorBar>
  <cs:floor>
    <cs:lnRef idx="0"/>
    <cs:fillRef idx="0"/>
    <cs:effectRef idx="0"/>
    <cs:fontRef idx="minor">
      <a:srgbClr val="000000"/>
    </cs:fontRef>
    <cs:spPr>
      <a:noFill/>
      <a:ln>
        <a:noFill/>
      </a:ln>
    </cs:spPr>
  </cs:floor>
  <cs:gridlineMajor>
    <cs:lnRef idx="0"/>
    <cs:fillRef idx="0"/>
    <cs:effectRef idx="0"/>
    <cs:fontRef idx="minor">
      <a:srgbClr val="000000"/>
    </cs:fontRef>
    <cs:spPr>
      <a:ln w="9525" cap="flat" cmpd="sng" algn="ctr">
        <a:solidFill>
          <a:srgbClr val="E6E6E6">
            <a:lumMod val="90200"/>
          </a:srgbClr>
        </a:solidFill>
        <a:round/>
      </a:ln>
    </cs:spPr>
  </cs:gridlineMajor>
  <cs:gridlineMinor>
    <cs:lnRef idx="0"/>
    <cs:fillRef idx="0"/>
    <cs:effectRef idx="0"/>
    <cs:fontRef idx="minor">
      <a:srgbClr val="000000"/>
    </cs:fontRef>
    <cs:spPr>
      <a:ln w="9525" cap="flat" cmpd="sng" algn="ctr">
        <a:solidFill>
          <a:srgbClr val="F2F2F2">
            <a:lumMod val="5000"/>
            <a:lumOff val="95000"/>
          </a:srgbClr>
        </a:solidFill>
        <a:round/>
      </a:ln>
    </cs:spPr>
  </cs:gridlineMinor>
  <cs:hiLo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808080">
            <a:lumMod val="50000"/>
            <a:lumOff val="50000"/>
          </a:srgbClr>
        </a:solidFill>
        <a:round/>
      </a:ln>
    </cs:spPr>
  </cs:hiLoLine>
  <cs:leader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leaderLine>
  <cs:legend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legend>
  <cs:plotArea mods="allowNoFillOverride allowNoLineOverride">
    <cs:lnRef idx="0"/>
    <cs:fillRef idx="0"/>
    <cs:effectRef idx="0"/>
    <cs:fontRef idx="minor">
      <a:srgbClr val="000000"/>
    </cs:fontRef>
  </cs:plotArea>
  <cs:plotArea3D mods="allowNoFillOverride allowNoLineOverride">
    <cs:lnRef idx="0"/>
    <cs:fillRef idx="0"/>
    <cs:effectRef idx="0"/>
    <cs:fontRef idx="minor">
      <a:srgbClr val="000000"/>
    </cs:fontRef>
  </cs:plotArea3D>
  <cs:series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seriesAxis>
  <cs:seriesLine>
    <cs:lnRef idx="0"/>
    <cs:fillRef idx="0"/>
    <cs:effectRef idx="0"/>
    <cs:fontRef idx="minor">
      <a:srgbClr val="000000"/>
    </cs:fontRef>
    <cs:spPr>
      <a:ln w="9525" cap="flat" cmpd="sng" algn="ctr">
        <a:solidFill>
          <a:srgbClr val="A6A6A6">
            <a:lumMod val="35000"/>
            <a:lumOff val="65000"/>
          </a:srgbClr>
        </a:solidFill>
        <a:round/>
      </a:ln>
    </cs:spPr>
  </cs:seriesLine>
  <cs:title>
    <cs:lnRef idx="0"/>
    <cs:fillRef idx="0"/>
    <cs:effectRef idx="0"/>
    <cs:fontRef idx="minor">
      <a:srgbClr val="404040">
        <a:lumMod val="75000"/>
        <a:lumOff val="25000"/>
      </a:srgbClr>
    </cs:fontRef>
    <cs:defRPr sz="1400" b="1" kern="1200" baseline="0"/>
  </cs:title>
  <cs:trendline>
    <cs:lnRef idx="0">
      <cs:styleClr val="auto"/>
    </cs:lnRef>
    <cs:fillRef idx="0"/>
    <cs:effectRef idx="0"/>
    <cs:fontRef idx="minor">
      <a:srgbClr val="000000"/>
    </cs:fontRef>
    <cs:spPr>
      <a:ln w="19050" cap="rnd">
        <a:solidFill>
          <a:srgbClr val="FFFFFF"/>
        </a:solidFill>
        <a:prstDash val="sysDot"/>
      </a:ln>
    </cs:spPr>
  </cs:trendline>
  <cs:trendlineLabel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trendlineLabel>
  <cs:upBar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595959">
            <a:lumMod val="65000"/>
            <a:lumOff val="35000"/>
          </a:srgbClr>
        </a:solidFill>
        <a:round/>
      </a:ln>
    </cs:spPr>
  </cs:upBar>
  <cs:value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valueAxis>
  <cs:wall>
    <cs:lnRef idx="0"/>
    <cs:fillRef idx="0"/>
    <cs:effectRef idx="0"/>
    <cs:fontRef idx="minor">
      <a:srgbClr val="000000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3541</Words>
  <Characters>3790</Characters>
  <Lines>0</Lines>
  <Paragraphs>0</Paragraphs>
  <TotalTime>1</TotalTime>
  <ScaleCrop>false</ScaleCrop>
  <LinksUpToDate>false</LinksUpToDate>
  <CharactersWithSpaces>3801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2025-05-09T04:43:00Z</dcterms:created>
  <dc:creator>影子是时光的❤</dc:creator>
  <cp:lastModifiedBy>影子是时光的❤</cp:lastModifiedBy>
  <dcterms:modified xsi:type="dcterms:W3CDTF">2025-05-12T02:33:18Z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F3062145D1BA44C4AB36E1B00DA4744A_13</vt:lpwstr>
  </property>
  <property fmtid="{D5CDD505-2E9C-101B-9397-08002B2CF9AE}" pid="4" name="KSOTemplateDocerSaveRecord">
    <vt:lpwstr>eyJoZGlkIjoiMmFhMzdkMTBjY2M3NjM3NGJjMjVhYzJkZjQ2Y2IyNDUiLCJ1c2VySWQiOiI0MjQwNTM4MDYifQ==</vt:lpwstr>
  </property>
</Properties>
</file>