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snapToGrid w:val="0"/>
        </w:rPr>
      </w:pPr>
      <w:r>
        <w:rPr>
          <w:snapToGrid w:val="0"/>
        </w:rPr>
        <w:t>一、建设项目基本情况</w:t>
      </w:r>
    </w:p>
    <w:tbl>
      <w:tblPr>
        <w:tblStyle w:val="20"/>
        <w:tblW w:w="496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80"/>
        <w:gridCol w:w="994"/>
        <w:gridCol w:w="2121"/>
        <w:gridCol w:w="1849"/>
        <w:gridCol w:w="27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建设项目名称</w:t>
            </w:r>
          </w:p>
        </w:tc>
        <w:tc>
          <w:tcPr>
            <w:tcW w:w="4048" w:type="pct"/>
            <w:gridSpan w:val="3"/>
            <w:vAlign w:val="center"/>
          </w:tcPr>
          <w:p>
            <w:pPr>
              <w:pStyle w:val="27"/>
              <w:jc w:val="center"/>
              <w:rPr>
                <w:sz w:val="24"/>
                <w:szCs w:val="24"/>
              </w:rPr>
            </w:pPr>
            <w:bookmarkStart w:id="0" w:name="_Hlk121729253"/>
            <w:r>
              <w:rPr>
                <w:rFonts w:hint="eastAsia"/>
                <w:sz w:val="24"/>
                <w:szCs w:val="24"/>
              </w:rPr>
              <w:t>年产</w:t>
            </w:r>
            <w:r>
              <w:rPr>
                <w:sz w:val="24"/>
                <w:szCs w:val="24"/>
              </w:rPr>
              <w:t>2</w:t>
            </w:r>
            <w:r>
              <w:rPr>
                <w:rFonts w:hint="eastAsia"/>
                <w:sz w:val="24"/>
                <w:szCs w:val="24"/>
              </w:rPr>
              <w:t>0万吨重晶石粉加工、</w:t>
            </w:r>
            <w:r>
              <w:rPr>
                <w:sz w:val="24"/>
                <w:szCs w:val="24"/>
              </w:rPr>
              <w:t>10</w:t>
            </w:r>
            <w:r>
              <w:rPr>
                <w:rFonts w:hint="eastAsia"/>
                <w:sz w:val="24"/>
                <w:szCs w:val="24"/>
              </w:rPr>
              <w:t>万吨石英石加工项目</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项目代码</w:t>
            </w:r>
          </w:p>
        </w:tc>
        <w:tc>
          <w:tcPr>
            <w:tcW w:w="4048" w:type="pct"/>
            <w:gridSpan w:val="3"/>
            <w:vAlign w:val="center"/>
          </w:tcPr>
          <w:p>
            <w:pPr>
              <w:pStyle w:val="27"/>
              <w:jc w:val="center"/>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建设单位联系人</w:t>
            </w:r>
          </w:p>
        </w:tc>
        <w:tc>
          <w:tcPr>
            <w:tcW w:w="1283" w:type="pct"/>
            <w:vAlign w:val="center"/>
          </w:tcPr>
          <w:p>
            <w:pPr>
              <w:pStyle w:val="27"/>
              <w:jc w:val="center"/>
              <w:rPr>
                <w:rFonts w:hint="eastAsia" w:eastAsiaTheme="minorEastAsia"/>
                <w:sz w:val="24"/>
                <w:szCs w:val="24"/>
                <w:lang w:eastAsia="zh-CN"/>
              </w:rPr>
            </w:pPr>
            <w:r>
              <w:rPr>
                <w:rFonts w:hint="eastAsia"/>
                <w:sz w:val="24"/>
                <w:szCs w:val="24"/>
              </w:rPr>
              <w:t>谢</w:t>
            </w:r>
            <w:r>
              <w:rPr>
                <w:rFonts w:hint="eastAsia"/>
                <w:sz w:val="24"/>
                <w:szCs w:val="24"/>
                <w:lang w:val="en-US" w:eastAsia="zh-CN"/>
              </w:rPr>
              <w:t>*</w:t>
            </w:r>
          </w:p>
        </w:tc>
        <w:tc>
          <w:tcPr>
            <w:tcW w:w="1118" w:type="pct"/>
            <w:vAlign w:val="center"/>
          </w:tcPr>
          <w:p>
            <w:pPr>
              <w:pStyle w:val="27"/>
              <w:jc w:val="center"/>
              <w:rPr>
                <w:sz w:val="24"/>
                <w:szCs w:val="24"/>
              </w:rPr>
            </w:pPr>
            <w:r>
              <w:rPr>
                <w:rFonts w:hint="eastAsia"/>
                <w:sz w:val="24"/>
                <w:szCs w:val="24"/>
              </w:rPr>
              <w:t>联系方式</w:t>
            </w:r>
          </w:p>
        </w:tc>
        <w:tc>
          <w:tcPr>
            <w:tcW w:w="1646" w:type="pct"/>
            <w:vAlign w:val="center"/>
          </w:tcPr>
          <w:p>
            <w:pPr>
              <w:pStyle w:val="27"/>
              <w:jc w:val="center"/>
              <w:rPr>
                <w:sz w:val="24"/>
                <w:szCs w:val="24"/>
              </w:rPr>
            </w:pPr>
            <w:r>
              <w:rPr>
                <w:sz w:val="24"/>
                <w:szCs w:val="24"/>
              </w:rPr>
              <w:t>139</w:t>
            </w:r>
            <w:r>
              <w:rPr>
                <w:rFonts w:hint="eastAsia"/>
                <w:sz w:val="24"/>
                <w:szCs w:val="24"/>
                <w:lang w:val="en-US" w:eastAsia="zh-CN"/>
              </w:rPr>
              <w:t>*******</w:t>
            </w:r>
            <w:bookmarkStart w:id="10" w:name="_GoBack"/>
            <w:bookmarkEnd w:id="10"/>
            <w:r>
              <w:rPr>
                <w:sz w:val="24"/>
                <w:szCs w:val="24"/>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建设地点</w:t>
            </w:r>
          </w:p>
        </w:tc>
        <w:tc>
          <w:tcPr>
            <w:tcW w:w="4048" w:type="pct"/>
            <w:gridSpan w:val="3"/>
            <w:vAlign w:val="center"/>
          </w:tcPr>
          <w:p>
            <w:pPr>
              <w:pStyle w:val="27"/>
              <w:jc w:val="center"/>
              <w:rPr>
                <w:sz w:val="24"/>
                <w:szCs w:val="24"/>
              </w:rPr>
            </w:pPr>
            <w:r>
              <w:rPr>
                <w:rFonts w:hint="eastAsia"/>
                <w:sz w:val="24"/>
                <w:szCs w:val="24"/>
              </w:rPr>
              <w:t>陕西省安康市平利县洛河镇莲花台村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地理坐标</w:t>
            </w:r>
          </w:p>
        </w:tc>
        <w:tc>
          <w:tcPr>
            <w:tcW w:w="4048" w:type="pct"/>
            <w:gridSpan w:val="3"/>
            <w:vAlign w:val="center"/>
          </w:tcPr>
          <w:p>
            <w:pPr>
              <w:pStyle w:val="27"/>
              <w:jc w:val="center"/>
              <w:rPr>
                <w:sz w:val="24"/>
                <w:szCs w:val="24"/>
              </w:rPr>
            </w:pPr>
            <w:r>
              <w:rPr>
                <w:rFonts w:hint="eastAsia"/>
                <w:sz w:val="24"/>
                <w:szCs w:val="24"/>
              </w:rPr>
              <w:t>东经 109°9′22.33</w:t>
            </w:r>
            <w:r>
              <w:rPr>
                <w:sz w:val="24"/>
                <w:szCs w:val="24"/>
              </w:rPr>
              <w:t>1</w:t>
            </w:r>
            <w:r>
              <w:rPr>
                <w:rFonts w:hint="eastAsia"/>
                <w:sz w:val="24"/>
                <w:szCs w:val="24"/>
              </w:rPr>
              <w:t>″，北纬</w:t>
            </w:r>
            <w:r>
              <w:rPr>
                <w:sz w:val="24"/>
                <w:szCs w:val="24"/>
              </w:rPr>
              <w:t xml:space="preserve"> </w:t>
            </w:r>
            <w:r>
              <w:rPr>
                <w:rFonts w:hint="eastAsia"/>
                <w:sz w:val="24"/>
                <w:szCs w:val="24"/>
              </w:rPr>
              <w:t>32°21′2.552″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952" w:type="pct"/>
            <w:gridSpan w:val="2"/>
            <w:vMerge w:val="restart"/>
            <w:tcMar>
              <w:top w:w="16" w:type="dxa"/>
              <w:left w:w="16" w:type="dxa"/>
              <w:right w:w="16" w:type="dxa"/>
            </w:tcMar>
            <w:vAlign w:val="center"/>
          </w:tcPr>
          <w:p>
            <w:pPr>
              <w:pStyle w:val="27"/>
              <w:jc w:val="center"/>
              <w:rPr>
                <w:sz w:val="24"/>
                <w:szCs w:val="24"/>
              </w:rPr>
            </w:pPr>
            <w:r>
              <w:rPr>
                <w:sz w:val="24"/>
                <w:szCs w:val="24"/>
              </w:rPr>
              <w:t>国民经济</w:t>
            </w:r>
          </w:p>
          <w:p>
            <w:pPr>
              <w:pStyle w:val="27"/>
              <w:jc w:val="center"/>
              <w:rPr>
                <w:sz w:val="24"/>
                <w:szCs w:val="24"/>
              </w:rPr>
            </w:pPr>
            <w:r>
              <w:rPr>
                <w:sz w:val="24"/>
                <w:szCs w:val="24"/>
              </w:rPr>
              <w:t>行业类别</w:t>
            </w:r>
          </w:p>
        </w:tc>
        <w:tc>
          <w:tcPr>
            <w:tcW w:w="1283" w:type="pct"/>
            <w:vAlign w:val="center"/>
          </w:tcPr>
          <w:p>
            <w:pPr>
              <w:pStyle w:val="27"/>
              <w:jc w:val="center"/>
              <w:rPr>
                <w:sz w:val="24"/>
                <w:szCs w:val="24"/>
              </w:rPr>
            </w:pPr>
            <w:r>
              <w:rPr>
                <w:rFonts w:hint="eastAsia"/>
                <w:sz w:val="24"/>
                <w:szCs w:val="24"/>
              </w:rPr>
              <w:t>C</w:t>
            </w:r>
            <w:r>
              <w:rPr>
                <w:sz w:val="24"/>
                <w:szCs w:val="24"/>
              </w:rPr>
              <w:t xml:space="preserve">3099 </w:t>
            </w:r>
            <w:r>
              <w:rPr>
                <w:rFonts w:hint="eastAsia"/>
                <w:sz w:val="24"/>
                <w:szCs w:val="24"/>
              </w:rPr>
              <w:t>其他非金属矿物制品制造</w:t>
            </w:r>
          </w:p>
        </w:tc>
        <w:tc>
          <w:tcPr>
            <w:tcW w:w="1118" w:type="pct"/>
            <w:vMerge w:val="restart"/>
            <w:vAlign w:val="center"/>
          </w:tcPr>
          <w:p>
            <w:pPr>
              <w:pStyle w:val="27"/>
              <w:jc w:val="center"/>
              <w:rPr>
                <w:sz w:val="24"/>
                <w:szCs w:val="24"/>
              </w:rPr>
            </w:pPr>
            <w:bookmarkStart w:id="1" w:name="_Hlk49843745"/>
            <w:r>
              <w:rPr>
                <w:sz w:val="24"/>
                <w:szCs w:val="24"/>
              </w:rPr>
              <w:t>建设项目</w:t>
            </w:r>
          </w:p>
          <w:p>
            <w:pPr>
              <w:pStyle w:val="27"/>
              <w:jc w:val="center"/>
              <w:rPr>
                <w:sz w:val="24"/>
                <w:szCs w:val="24"/>
              </w:rPr>
            </w:pPr>
            <w:r>
              <w:rPr>
                <w:sz w:val="24"/>
                <w:szCs w:val="24"/>
              </w:rPr>
              <w:t>行业类别</w:t>
            </w:r>
            <w:bookmarkEnd w:id="1"/>
          </w:p>
        </w:tc>
        <w:tc>
          <w:tcPr>
            <w:tcW w:w="1646" w:type="pct"/>
            <w:vAlign w:val="center"/>
          </w:tcPr>
          <w:p>
            <w:pPr>
              <w:pStyle w:val="27"/>
              <w:jc w:val="center"/>
              <w:rPr>
                <w:sz w:val="24"/>
                <w:szCs w:val="24"/>
              </w:rPr>
            </w:pPr>
            <w:r>
              <w:rPr>
                <w:rFonts w:hint="eastAsia"/>
                <w:sz w:val="24"/>
                <w:szCs w:val="24"/>
              </w:rPr>
              <w:t>二十七、非金属矿物制品业3</w:t>
            </w:r>
            <w:r>
              <w:rPr>
                <w:sz w:val="24"/>
                <w:szCs w:val="24"/>
              </w:rPr>
              <w:t>09</w:t>
            </w:r>
            <w:r>
              <w:rPr>
                <w:rFonts w:hint="eastAsia"/>
                <w:sz w:val="24"/>
                <w:szCs w:val="24"/>
              </w:rPr>
              <w:t>石墨及其他非金属矿物制品制造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952" w:type="pct"/>
            <w:gridSpan w:val="2"/>
            <w:vMerge w:val="continue"/>
            <w:tcMar>
              <w:top w:w="16" w:type="dxa"/>
              <w:left w:w="16" w:type="dxa"/>
              <w:right w:w="16" w:type="dxa"/>
            </w:tcMar>
            <w:vAlign w:val="center"/>
          </w:tcPr>
          <w:p>
            <w:pPr>
              <w:pStyle w:val="27"/>
              <w:jc w:val="center"/>
              <w:rPr>
                <w:sz w:val="24"/>
                <w:szCs w:val="28"/>
              </w:rPr>
            </w:pPr>
          </w:p>
        </w:tc>
        <w:tc>
          <w:tcPr>
            <w:tcW w:w="1283" w:type="pct"/>
            <w:vAlign w:val="center"/>
          </w:tcPr>
          <w:p>
            <w:pPr>
              <w:pStyle w:val="27"/>
              <w:jc w:val="center"/>
              <w:rPr>
                <w:sz w:val="24"/>
                <w:szCs w:val="24"/>
              </w:rPr>
            </w:pPr>
            <w:r>
              <w:rPr>
                <w:rFonts w:hint="eastAsia"/>
                <w:sz w:val="24"/>
                <w:szCs w:val="24"/>
              </w:rPr>
              <w:t>C3031 粘土砖瓦及建筑砌块制造</w:t>
            </w:r>
          </w:p>
        </w:tc>
        <w:tc>
          <w:tcPr>
            <w:tcW w:w="1118" w:type="pct"/>
            <w:vMerge w:val="continue"/>
            <w:vAlign w:val="center"/>
          </w:tcPr>
          <w:p>
            <w:pPr>
              <w:pStyle w:val="27"/>
              <w:jc w:val="center"/>
              <w:rPr>
                <w:sz w:val="24"/>
                <w:szCs w:val="24"/>
              </w:rPr>
            </w:pPr>
          </w:p>
        </w:tc>
        <w:tc>
          <w:tcPr>
            <w:tcW w:w="1646" w:type="pct"/>
            <w:vAlign w:val="center"/>
          </w:tcPr>
          <w:p>
            <w:pPr>
              <w:pStyle w:val="27"/>
              <w:jc w:val="center"/>
              <w:rPr>
                <w:sz w:val="24"/>
                <w:szCs w:val="24"/>
              </w:rPr>
            </w:pPr>
            <w:r>
              <w:rPr>
                <w:rFonts w:hint="eastAsia"/>
                <w:sz w:val="24"/>
                <w:szCs w:val="24"/>
              </w:rPr>
              <w:t>二十七、非金属矿物制品 55 石膏、水泥制品及类似制品制造 302 水泥制品制造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建设性质</w:t>
            </w:r>
          </w:p>
        </w:tc>
        <w:tc>
          <w:tcPr>
            <w:tcW w:w="1283" w:type="pct"/>
            <w:vAlign w:val="center"/>
          </w:tcPr>
          <w:p>
            <w:pPr>
              <w:pStyle w:val="27"/>
              <w:jc w:val="center"/>
              <w:rPr>
                <w:sz w:val="24"/>
                <w:szCs w:val="24"/>
              </w:rPr>
            </w:pPr>
            <w:r>
              <w:rPr>
                <w:sz w:val="24"/>
                <w:szCs w:val="24"/>
              </w:rPr>
              <w:sym w:font="Wingdings 2" w:char="0052"/>
            </w:r>
            <w:r>
              <w:rPr>
                <w:sz w:val="24"/>
                <w:szCs w:val="24"/>
              </w:rPr>
              <w:t>新建（迁建）</w:t>
            </w:r>
          </w:p>
          <w:p>
            <w:pPr>
              <w:pStyle w:val="27"/>
              <w:jc w:val="center"/>
              <w:rPr>
                <w:sz w:val="24"/>
                <w:szCs w:val="24"/>
              </w:rPr>
            </w:pPr>
            <w:r>
              <w:rPr>
                <w:sz w:val="24"/>
                <w:szCs w:val="24"/>
              </w:rPr>
              <w:sym w:font="Wingdings 2" w:char="00A3"/>
            </w:r>
            <w:r>
              <w:rPr>
                <w:sz w:val="24"/>
                <w:szCs w:val="24"/>
              </w:rPr>
              <w:t>改建</w:t>
            </w:r>
          </w:p>
          <w:p>
            <w:pPr>
              <w:pStyle w:val="27"/>
              <w:jc w:val="center"/>
              <w:rPr>
                <w:sz w:val="24"/>
                <w:szCs w:val="24"/>
              </w:rPr>
            </w:pPr>
            <w:r>
              <w:rPr>
                <w:sz w:val="24"/>
                <w:szCs w:val="24"/>
              </w:rPr>
              <w:sym w:font="Wingdings 2" w:char="00A3"/>
            </w:r>
            <w:r>
              <w:rPr>
                <w:sz w:val="24"/>
                <w:szCs w:val="24"/>
              </w:rPr>
              <w:t>扩建</w:t>
            </w:r>
          </w:p>
          <w:p>
            <w:pPr>
              <w:pStyle w:val="27"/>
              <w:jc w:val="center"/>
              <w:rPr>
                <w:sz w:val="24"/>
                <w:szCs w:val="24"/>
              </w:rPr>
            </w:pPr>
            <w:r>
              <w:rPr>
                <w:sz w:val="24"/>
                <w:szCs w:val="24"/>
              </w:rPr>
              <w:sym w:font="Wingdings 2" w:char="00A3"/>
            </w:r>
            <w:r>
              <w:rPr>
                <w:sz w:val="24"/>
                <w:szCs w:val="24"/>
              </w:rPr>
              <w:t>技术改造</w:t>
            </w:r>
          </w:p>
        </w:tc>
        <w:tc>
          <w:tcPr>
            <w:tcW w:w="1118" w:type="pct"/>
            <w:vAlign w:val="center"/>
          </w:tcPr>
          <w:p>
            <w:pPr>
              <w:pStyle w:val="27"/>
              <w:jc w:val="center"/>
              <w:rPr>
                <w:sz w:val="24"/>
                <w:szCs w:val="24"/>
              </w:rPr>
            </w:pPr>
            <w:r>
              <w:rPr>
                <w:sz w:val="24"/>
                <w:szCs w:val="24"/>
              </w:rPr>
              <w:t>建设项目</w:t>
            </w:r>
          </w:p>
          <w:p>
            <w:pPr>
              <w:pStyle w:val="27"/>
              <w:jc w:val="center"/>
              <w:rPr>
                <w:sz w:val="24"/>
                <w:szCs w:val="24"/>
              </w:rPr>
            </w:pPr>
            <w:r>
              <w:rPr>
                <w:sz w:val="24"/>
                <w:szCs w:val="24"/>
              </w:rPr>
              <w:t>申报情形</w:t>
            </w:r>
          </w:p>
        </w:tc>
        <w:tc>
          <w:tcPr>
            <w:tcW w:w="1646" w:type="pct"/>
            <w:vAlign w:val="center"/>
          </w:tcPr>
          <w:p>
            <w:pPr>
              <w:pStyle w:val="27"/>
              <w:jc w:val="center"/>
              <w:rPr>
                <w:sz w:val="24"/>
                <w:szCs w:val="24"/>
              </w:rPr>
            </w:pPr>
            <w:r>
              <w:rPr>
                <w:sz w:val="24"/>
                <w:szCs w:val="24"/>
              </w:rPr>
              <w:sym w:font="Wingdings 2" w:char="0052"/>
            </w:r>
            <w:r>
              <w:rPr>
                <w:sz w:val="24"/>
                <w:szCs w:val="24"/>
              </w:rPr>
              <w:t>首次申报项目</w:t>
            </w:r>
          </w:p>
          <w:p>
            <w:pPr>
              <w:pStyle w:val="27"/>
              <w:jc w:val="center"/>
              <w:rPr>
                <w:sz w:val="24"/>
                <w:szCs w:val="24"/>
              </w:rPr>
            </w:pPr>
            <w:r>
              <w:rPr>
                <w:sz w:val="24"/>
                <w:szCs w:val="24"/>
              </w:rPr>
              <w:sym w:font="Wingdings 2" w:char="00A3"/>
            </w:r>
            <w:r>
              <w:rPr>
                <w:sz w:val="24"/>
                <w:szCs w:val="24"/>
              </w:rPr>
              <w:t>不予批准后再次申报项目</w:t>
            </w:r>
          </w:p>
          <w:p>
            <w:pPr>
              <w:pStyle w:val="27"/>
              <w:jc w:val="center"/>
              <w:rPr>
                <w:sz w:val="24"/>
                <w:szCs w:val="24"/>
              </w:rPr>
            </w:pPr>
            <w:r>
              <w:rPr>
                <w:sz w:val="24"/>
                <w:szCs w:val="24"/>
              </w:rPr>
              <w:sym w:font="Wingdings 2" w:char="00A3"/>
            </w:r>
            <w:r>
              <w:rPr>
                <w:sz w:val="24"/>
                <w:szCs w:val="24"/>
              </w:rPr>
              <w:t>超五年重新审核项目</w:t>
            </w:r>
          </w:p>
          <w:p>
            <w:pPr>
              <w:pStyle w:val="27"/>
              <w:jc w:val="center"/>
              <w:rPr>
                <w:sz w:val="24"/>
                <w:szCs w:val="24"/>
              </w:rPr>
            </w:pPr>
            <w:r>
              <w:rPr>
                <w:sz w:val="24"/>
                <w:szCs w:val="24"/>
              </w:rPr>
              <w:sym w:font="Wingdings 2" w:char="00A3"/>
            </w:r>
            <w:r>
              <w:rPr>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项目审批部门</w:t>
            </w:r>
          </w:p>
        </w:tc>
        <w:tc>
          <w:tcPr>
            <w:tcW w:w="1283" w:type="pct"/>
            <w:vAlign w:val="center"/>
          </w:tcPr>
          <w:p>
            <w:pPr>
              <w:pStyle w:val="27"/>
              <w:jc w:val="center"/>
              <w:rPr>
                <w:sz w:val="24"/>
                <w:szCs w:val="24"/>
              </w:rPr>
            </w:pPr>
            <w:r>
              <w:rPr>
                <w:rFonts w:hint="eastAsia"/>
                <w:sz w:val="24"/>
                <w:szCs w:val="24"/>
              </w:rPr>
              <w:t>平利县发展和改革局</w:t>
            </w:r>
          </w:p>
        </w:tc>
        <w:tc>
          <w:tcPr>
            <w:tcW w:w="1118" w:type="pct"/>
            <w:vAlign w:val="center"/>
          </w:tcPr>
          <w:p>
            <w:pPr>
              <w:pStyle w:val="27"/>
              <w:jc w:val="center"/>
              <w:rPr>
                <w:sz w:val="24"/>
                <w:szCs w:val="24"/>
              </w:rPr>
            </w:pPr>
            <w:r>
              <w:rPr>
                <w:sz w:val="24"/>
                <w:szCs w:val="24"/>
              </w:rPr>
              <w:t>项目审批文号</w:t>
            </w:r>
          </w:p>
        </w:tc>
        <w:tc>
          <w:tcPr>
            <w:tcW w:w="1646" w:type="pct"/>
            <w:vAlign w:val="center"/>
          </w:tcPr>
          <w:p>
            <w:pPr>
              <w:pStyle w:val="27"/>
              <w:jc w:val="center"/>
              <w:rPr>
                <w:sz w:val="24"/>
                <w:szCs w:val="24"/>
              </w:rPr>
            </w:pPr>
            <w:r>
              <w:rPr>
                <w:rFonts w:hint="eastAsia"/>
                <w:sz w:val="24"/>
                <w:szCs w:val="24"/>
              </w:rPr>
              <w:t>平发改工字[</w:t>
            </w:r>
            <w:r>
              <w:rPr>
                <w:sz w:val="24"/>
                <w:szCs w:val="24"/>
              </w:rPr>
              <w:t>2019]94</w:t>
            </w:r>
            <w:r>
              <w:rPr>
                <w:rFonts w:hint="eastAsia"/>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总投资（万元）</w:t>
            </w:r>
          </w:p>
        </w:tc>
        <w:tc>
          <w:tcPr>
            <w:tcW w:w="1283" w:type="pct"/>
            <w:vAlign w:val="center"/>
          </w:tcPr>
          <w:p>
            <w:pPr>
              <w:pStyle w:val="27"/>
              <w:jc w:val="center"/>
              <w:rPr>
                <w:sz w:val="24"/>
                <w:szCs w:val="24"/>
              </w:rPr>
            </w:pPr>
            <w:r>
              <w:rPr>
                <w:sz w:val="24"/>
                <w:szCs w:val="24"/>
              </w:rPr>
              <w:t>2000</w:t>
            </w:r>
          </w:p>
        </w:tc>
        <w:tc>
          <w:tcPr>
            <w:tcW w:w="1118" w:type="pct"/>
            <w:tcMar>
              <w:top w:w="16" w:type="dxa"/>
              <w:left w:w="16" w:type="dxa"/>
              <w:right w:w="16" w:type="dxa"/>
            </w:tcMar>
            <w:vAlign w:val="center"/>
          </w:tcPr>
          <w:p>
            <w:pPr>
              <w:pStyle w:val="27"/>
              <w:jc w:val="center"/>
              <w:rPr>
                <w:sz w:val="24"/>
                <w:szCs w:val="24"/>
              </w:rPr>
            </w:pPr>
            <w:r>
              <w:rPr>
                <w:sz w:val="24"/>
                <w:szCs w:val="24"/>
              </w:rPr>
              <w:t>环保投资（万元）</w:t>
            </w:r>
          </w:p>
        </w:tc>
        <w:tc>
          <w:tcPr>
            <w:tcW w:w="1646" w:type="pct"/>
            <w:vAlign w:val="center"/>
          </w:tcPr>
          <w:p>
            <w:pPr>
              <w:pStyle w:val="27"/>
              <w:jc w:val="center"/>
              <w:rPr>
                <w:sz w:val="24"/>
                <w:szCs w:val="24"/>
              </w:rPr>
            </w:pPr>
            <w:r>
              <w:rPr>
                <w:sz w:val="24"/>
                <w:szCs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环保投资占比（%）</w:t>
            </w:r>
          </w:p>
        </w:tc>
        <w:tc>
          <w:tcPr>
            <w:tcW w:w="1283" w:type="pct"/>
            <w:vAlign w:val="center"/>
          </w:tcPr>
          <w:p>
            <w:pPr>
              <w:pStyle w:val="27"/>
              <w:jc w:val="center"/>
              <w:rPr>
                <w:sz w:val="24"/>
                <w:szCs w:val="24"/>
              </w:rPr>
            </w:pPr>
            <w:r>
              <w:rPr>
                <w:rFonts w:hint="eastAsia"/>
                <w:sz w:val="24"/>
                <w:szCs w:val="24"/>
              </w:rPr>
              <w:t>5</w:t>
            </w:r>
            <w:r>
              <w:rPr>
                <w:sz w:val="24"/>
                <w:szCs w:val="24"/>
              </w:rPr>
              <w:t>%</w:t>
            </w:r>
          </w:p>
        </w:tc>
        <w:tc>
          <w:tcPr>
            <w:tcW w:w="1118" w:type="pct"/>
            <w:tcMar>
              <w:top w:w="16" w:type="dxa"/>
              <w:left w:w="16" w:type="dxa"/>
              <w:right w:w="16" w:type="dxa"/>
            </w:tcMar>
            <w:vAlign w:val="center"/>
          </w:tcPr>
          <w:p>
            <w:pPr>
              <w:pStyle w:val="27"/>
              <w:jc w:val="center"/>
              <w:rPr>
                <w:sz w:val="24"/>
                <w:szCs w:val="24"/>
              </w:rPr>
            </w:pPr>
            <w:r>
              <w:rPr>
                <w:sz w:val="24"/>
                <w:szCs w:val="24"/>
              </w:rPr>
              <w:t>施工工期</w:t>
            </w:r>
          </w:p>
        </w:tc>
        <w:tc>
          <w:tcPr>
            <w:tcW w:w="1646" w:type="pct"/>
            <w:vAlign w:val="center"/>
          </w:tcPr>
          <w:p>
            <w:pPr>
              <w:pStyle w:val="27"/>
              <w:jc w:val="center"/>
              <w:rPr>
                <w:sz w:val="24"/>
                <w:szCs w:val="24"/>
              </w:rPr>
            </w:pPr>
            <w:r>
              <w:rPr>
                <w:rFonts w:hint="eastAsia"/>
                <w:sz w:val="24"/>
                <w:szCs w:val="24"/>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52" w:type="pct"/>
            <w:gridSpan w:val="2"/>
            <w:tcMar>
              <w:top w:w="16" w:type="dxa"/>
              <w:left w:w="16" w:type="dxa"/>
              <w:right w:w="16" w:type="dxa"/>
            </w:tcMar>
            <w:vAlign w:val="center"/>
          </w:tcPr>
          <w:p>
            <w:pPr>
              <w:pStyle w:val="27"/>
              <w:rPr>
                <w:sz w:val="24"/>
                <w:szCs w:val="24"/>
              </w:rPr>
            </w:pPr>
            <w:r>
              <w:rPr>
                <w:sz w:val="24"/>
                <w:szCs w:val="24"/>
              </w:rPr>
              <w:t>是否开工建设</w:t>
            </w:r>
          </w:p>
        </w:tc>
        <w:tc>
          <w:tcPr>
            <w:tcW w:w="1283" w:type="pct"/>
            <w:vAlign w:val="center"/>
          </w:tcPr>
          <w:p>
            <w:pPr>
              <w:pStyle w:val="27"/>
              <w:jc w:val="center"/>
              <w:rPr>
                <w:sz w:val="24"/>
                <w:szCs w:val="24"/>
              </w:rPr>
            </w:pPr>
            <w:r>
              <w:rPr>
                <w:rFonts w:hint="eastAsia"/>
                <w:sz w:val="24"/>
                <w:szCs w:val="24"/>
              </w:rPr>
              <w:t>√</w:t>
            </w:r>
            <w:r>
              <w:rPr>
                <w:sz w:val="24"/>
                <w:szCs w:val="24"/>
              </w:rPr>
              <w:t>否</w:t>
            </w:r>
          </w:p>
          <w:p>
            <w:pPr>
              <w:pStyle w:val="27"/>
              <w:jc w:val="center"/>
              <w:rPr>
                <w:sz w:val="24"/>
                <w:szCs w:val="28"/>
              </w:rPr>
            </w:pPr>
            <w:r>
              <w:rPr>
                <w:sz w:val="24"/>
                <w:szCs w:val="24"/>
              </w:rPr>
              <w:sym w:font="Wingdings 2" w:char="00A3"/>
            </w:r>
            <w:r>
              <w:rPr>
                <w:sz w:val="24"/>
                <w:szCs w:val="24"/>
              </w:rPr>
              <w:t>是</w:t>
            </w:r>
            <w:r>
              <w:rPr>
                <w:rFonts w:hint="eastAsia"/>
                <w:sz w:val="24"/>
                <w:szCs w:val="24"/>
              </w:rPr>
              <w:t>：</w:t>
            </w:r>
          </w:p>
        </w:tc>
        <w:tc>
          <w:tcPr>
            <w:tcW w:w="1118" w:type="pct"/>
            <w:vAlign w:val="center"/>
          </w:tcPr>
          <w:p>
            <w:pPr>
              <w:pStyle w:val="27"/>
              <w:jc w:val="center"/>
              <w:rPr>
                <w:sz w:val="24"/>
                <w:szCs w:val="24"/>
              </w:rPr>
            </w:pPr>
            <w:r>
              <w:rPr>
                <w:sz w:val="24"/>
                <w:szCs w:val="24"/>
              </w:rPr>
              <w:t>用地面积（m</w:t>
            </w:r>
            <w:r>
              <w:rPr>
                <w:sz w:val="24"/>
                <w:szCs w:val="24"/>
                <w:vertAlign w:val="superscript"/>
              </w:rPr>
              <w:t>2</w:t>
            </w:r>
            <w:r>
              <w:rPr>
                <w:sz w:val="24"/>
                <w:szCs w:val="24"/>
              </w:rPr>
              <w:t>）</w:t>
            </w:r>
          </w:p>
          <w:p>
            <w:pPr>
              <w:pStyle w:val="27"/>
              <w:jc w:val="center"/>
              <w:rPr>
                <w:sz w:val="24"/>
                <w:szCs w:val="24"/>
              </w:rPr>
            </w:pPr>
            <w:r>
              <w:rPr>
                <w:sz w:val="24"/>
                <w:szCs w:val="24"/>
              </w:rPr>
              <w:t>/长度（km）</w:t>
            </w:r>
          </w:p>
        </w:tc>
        <w:tc>
          <w:tcPr>
            <w:tcW w:w="1646" w:type="pct"/>
            <w:vAlign w:val="center"/>
          </w:tcPr>
          <w:p>
            <w:pPr>
              <w:pStyle w:val="27"/>
              <w:jc w:val="center"/>
              <w:rPr>
                <w:sz w:val="24"/>
                <w:szCs w:val="24"/>
              </w:rPr>
            </w:pPr>
            <w:r>
              <w:rPr>
                <w:sz w:val="24"/>
                <w:szCs w:val="24"/>
              </w:rPr>
              <w:t>21540.1m</w:t>
            </w:r>
            <w:r>
              <w:rPr>
                <w:sz w:val="24"/>
                <w:szCs w:val="24"/>
                <w:vertAlign w:val="superscript"/>
              </w:rPr>
              <w:t>2</w:t>
            </w:r>
            <w:r>
              <w:rPr>
                <w:rFonts w:hint="eastAsia"/>
                <w:sz w:val="24"/>
                <w:szCs w:val="24"/>
              </w:rPr>
              <w:t>（3</w:t>
            </w:r>
            <w:r>
              <w:rPr>
                <w:sz w:val="24"/>
                <w:szCs w:val="24"/>
              </w:rPr>
              <w:t>2.31</w:t>
            </w:r>
            <w:r>
              <w:rPr>
                <w:rFonts w:hint="eastAsia"/>
                <w:sz w:val="24"/>
                <w:szCs w:val="24"/>
              </w:rPr>
              <w:t>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952" w:type="pct"/>
            <w:gridSpan w:val="2"/>
            <w:tcMar>
              <w:top w:w="16" w:type="dxa"/>
              <w:left w:w="16" w:type="dxa"/>
              <w:right w:w="16" w:type="dxa"/>
            </w:tcMar>
            <w:vAlign w:val="center"/>
          </w:tcPr>
          <w:p>
            <w:pPr>
              <w:pStyle w:val="27"/>
              <w:jc w:val="center"/>
              <w:rPr>
                <w:kern w:val="0"/>
                <w:sz w:val="24"/>
                <w:szCs w:val="24"/>
              </w:rPr>
            </w:pPr>
            <w:r>
              <w:rPr>
                <w:kern w:val="0"/>
                <w:sz w:val="24"/>
                <w:szCs w:val="24"/>
              </w:rPr>
              <w:t>专项评价设置情况</w:t>
            </w:r>
          </w:p>
        </w:tc>
        <w:tc>
          <w:tcPr>
            <w:tcW w:w="4048" w:type="pct"/>
            <w:gridSpan w:val="3"/>
            <w:tcMar>
              <w:top w:w="16" w:type="dxa"/>
              <w:left w:w="16" w:type="dxa"/>
              <w:right w:w="16" w:type="dxa"/>
            </w:tcMar>
            <w:vAlign w:val="center"/>
          </w:tcPr>
          <w:p>
            <w:pPr>
              <w:pStyle w:val="27"/>
              <w:jc w:val="center"/>
              <w:rPr>
                <w:kern w:val="0"/>
                <w:sz w:val="24"/>
                <w:szCs w:val="24"/>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952" w:type="pct"/>
            <w:gridSpan w:val="2"/>
            <w:tcMar>
              <w:top w:w="16" w:type="dxa"/>
              <w:left w:w="16" w:type="dxa"/>
              <w:right w:w="16" w:type="dxa"/>
            </w:tcMar>
            <w:vAlign w:val="center"/>
          </w:tcPr>
          <w:p>
            <w:pPr>
              <w:pStyle w:val="27"/>
              <w:jc w:val="center"/>
              <w:rPr>
                <w:kern w:val="0"/>
                <w:sz w:val="24"/>
                <w:szCs w:val="24"/>
              </w:rPr>
            </w:pPr>
            <w:r>
              <w:rPr>
                <w:sz w:val="24"/>
                <w:szCs w:val="24"/>
              </w:rPr>
              <w:t>规划情况</w:t>
            </w:r>
          </w:p>
        </w:tc>
        <w:tc>
          <w:tcPr>
            <w:tcW w:w="4048" w:type="pct"/>
            <w:gridSpan w:val="3"/>
            <w:tcMar>
              <w:top w:w="16" w:type="dxa"/>
              <w:left w:w="16" w:type="dxa"/>
              <w:right w:w="16" w:type="dxa"/>
            </w:tcMar>
            <w:vAlign w:val="center"/>
          </w:tcPr>
          <w:p>
            <w:pPr>
              <w:pStyle w:val="27"/>
              <w:jc w:val="center"/>
              <w:rPr>
                <w:sz w:val="24"/>
                <w:szCs w:val="28"/>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2" w:hRule="atLeast"/>
        </w:trPr>
        <w:tc>
          <w:tcPr>
            <w:tcW w:w="952" w:type="pct"/>
            <w:gridSpan w:val="2"/>
            <w:tcMar>
              <w:top w:w="16" w:type="dxa"/>
              <w:left w:w="16" w:type="dxa"/>
              <w:right w:w="16" w:type="dxa"/>
            </w:tcMar>
            <w:vAlign w:val="center"/>
          </w:tcPr>
          <w:p>
            <w:pPr>
              <w:pStyle w:val="27"/>
              <w:jc w:val="center"/>
              <w:rPr>
                <w:sz w:val="24"/>
                <w:szCs w:val="24"/>
              </w:rPr>
            </w:pPr>
            <w:r>
              <w:rPr>
                <w:sz w:val="24"/>
                <w:szCs w:val="24"/>
              </w:rPr>
              <w:t>规划环境影响</w:t>
            </w:r>
          </w:p>
          <w:p>
            <w:pPr>
              <w:pStyle w:val="27"/>
              <w:jc w:val="center"/>
              <w:rPr>
                <w:kern w:val="0"/>
                <w:sz w:val="24"/>
                <w:szCs w:val="24"/>
              </w:rPr>
            </w:pPr>
            <w:r>
              <w:rPr>
                <w:sz w:val="24"/>
                <w:szCs w:val="24"/>
              </w:rPr>
              <w:t>评价情况</w:t>
            </w:r>
          </w:p>
        </w:tc>
        <w:tc>
          <w:tcPr>
            <w:tcW w:w="4048" w:type="pct"/>
            <w:gridSpan w:val="3"/>
            <w:tcMar>
              <w:top w:w="16" w:type="dxa"/>
              <w:left w:w="16" w:type="dxa"/>
              <w:right w:w="16" w:type="dxa"/>
            </w:tcMar>
            <w:vAlign w:val="center"/>
          </w:tcPr>
          <w:p>
            <w:pPr>
              <w:pStyle w:val="27"/>
              <w:jc w:val="center"/>
              <w:rPr>
                <w:sz w:val="24"/>
                <w:szCs w:val="28"/>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52" w:type="pct"/>
            <w:gridSpan w:val="2"/>
            <w:tcMar>
              <w:top w:w="16" w:type="dxa"/>
              <w:left w:w="16" w:type="dxa"/>
              <w:right w:w="16" w:type="dxa"/>
            </w:tcMar>
            <w:vAlign w:val="center"/>
          </w:tcPr>
          <w:p>
            <w:pPr>
              <w:pStyle w:val="27"/>
              <w:spacing w:before="163" w:beforeLines="50" w:after="163" w:afterLines="50"/>
              <w:jc w:val="center"/>
              <w:rPr>
                <w:kern w:val="0"/>
                <w:sz w:val="24"/>
                <w:szCs w:val="24"/>
              </w:rPr>
            </w:pPr>
            <w:r>
              <w:rPr>
                <w:kern w:val="0"/>
                <w:sz w:val="24"/>
                <w:szCs w:val="24"/>
              </w:rPr>
              <w:t>规划及</w:t>
            </w:r>
            <w:r>
              <w:rPr>
                <w:sz w:val="24"/>
                <w:szCs w:val="24"/>
              </w:rPr>
              <w:t>规划环境影响评价</w:t>
            </w:r>
            <w:r>
              <w:rPr>
                <w:kern w:val="0"/>
                <w:sz w:val="24"/>
                <w:szCs w:val="24"/>
              </w:rPr>
              <w:t>符合性分析</w:t>
            </w:r>
          </w:p>
        </w:tc>
        <w:tc>
          <w:tcPr>
            <w:tcW w:w="4048" w:type="pct"/>
            <w:gridSpan w:val="3"/>
            <w:tcMar>
              <w:top w:w="16" w:type="dxa"/>
              <w:left w:w="16" w:type="dxa"/>
              <w:right w:w="16" w:type="dxa"/>
            </w:tcMar>
            <w:vAlign w:val="center"/>
          </w:tcPr>
          <w:p>
            <w:pPr>
              <w:pStyle w:val="27"/>
              <w:jc w:val="center"/>
              <w:rPr>
                <w:sz w:val="24"/>
                <w:szCs w:val="28"/>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600" w:hRule="atLeast"/>
        </w:trPr>
        <w:tc>
          <w:tcPr>
            <w:tcW w:w="351" w:type="pct"/>
            <w:tcMar>
              <w:top w:w="16" w:type="dxa"/>
              <w:left w:w="16" w:type="dxa"/>
              <w:right w:w="16" w:type="dxa"/>
            </w:tcMar>
            <w:vAlign w:val="center"/>
          </w:tcPr>
          <w:p>
            <w:pPr>
              <w:jc w:val="center"/>
              <w:rPr>
                <w:b/>
                <w:bCs/>
              </w:rPr>
            </w:pPr>
            <w:r>
              <w:rPr>
                <w:b/>
                <w:bCs/>
              </w:rPr>
              <w:t>其他符合性分析</w:t>
            </w:r>
          </w:p>
        </w:tc>
        <w:tc>
          <w:tcPr>
            <w:tcW w:w="4649" w:type="pct"/>
            <w:gridSpan w:val="4"/>
            <w:tcMar>
              <w:top w:w="16" w:type="dxa"/>
              <w:left w:w="16" w:type="dxa"/>
              <w:right w:w="16" w:type="dxa"/>
            </w:tcMar>
            <w:vAlign w:val="center"/>
          </w:tcPr>
          <w:p>
            <w:pPr>
              <w:ind w:firstLine="482" w:firstLineChars="200"/>
              <w:rPr>
                <w:b/>
                <w:bCs/>
              </w:rPr>
            </w:pPr>
            <w:r>
              <w:rPr>
                <w:rFonts w:hint="eastAsia"/>
                <w:b/>
                <w:bCs/>
              </w:rPr>
              <w:t>（一）</w:t>
            </w:r>
            <w:r>
              <w:rPr>
                <w:b/>
                <w:bCs/>
              </w:rPr>
              <w:t>产业政策符合性分析</w:t>
            </w:r>
          </w:p>
          <w:p>
            <w:pPr>
              <w:ind w:firstLine="480" w:firstLineChars="200"/>
            </w:pPr>
            <w:r>
              <w:t>根据《产业结构调整指导目录（2019年本）》</w:t>
            </w:r>
            <w:r>
              <w:rPr>
                <w:rFonts w:hint="eastAsia"/>
              </w:rPr>
              <w:t>本项目不属于其中鼓励类、限制类、淘汰类项目，</w:t>
            </w:r>
            <w:r>
              <w:t>符合国家产业政策。</w:t>
            </w:r>
          </w:p>
          <w:p>
            <w:pPr>
              <w:ind w:firstLine="480" w:firstLineChars="200"/>
            </w:pPr>
            <w:r>
              <w:rPr>
                <w:rFonts w:hint="eastAsia"/>
              </w:rPr>
              <w:t>根据《市场准入负面清单》（20</w:t>
            </w:r>
            <w:r>
              <w:t>22</w:t>
            </w:r>
            <w:r>
              <w:rPr>
                <w:rFonts w:hint="eastAsia"/>
              </w:rPr>
              <w:t>年版），本项目不属于清单内禁止准入类项目，且不在市场准入相关的禁止性规定范围内，可依法平等准入，符合政策要求</w:t>
            </w:r>
            <w:r>
              <w:t>。</w:t>
            </w:r>
          </w:p>
          <w:p>
            <w:pPr>
              <w:ind w:firstLine="480" w:firstLineChars="200"/>
            </w:pPr>
            <w:r>
              <w:rPr>
                <w:rFonts w:hint="eastAsia"/>
              </w:rPr>
              <w:t>本项目于2019年7月25日取得了平利县发展和改革局《关于年产20万吨重晶石粉加工、10万吨石英石加工项目备案的通知》（平发改工字[2019]94号）。</w:t>
            </w:r>
          </w:p>
          <w:p>
            <w:pPr>
              <w:ind w:firstLine="482" w:firstLineChars="200"/>
              <w:rPr>
                <w:b/>
                <w:bCs/>
              </w:rPr>
            </w:pPr>
            <w:r>
              <w:rPr>
                <w:rFonts w:hint="eastAsia"/>
                <w:b/>
                <w:bCs/>
              </w:rPr>
              <w:t>（二）选址合理性</w:t>
            </w:r>
          </w:p>
          <w:p>
            <w:pPr>
              <w:ind w:firstLine="480" w:firstLineChars="200"/>
            </w:pPr>
            <w:r>
              <w:rPr>
                <w:rFonts w:hint="eastAsia"/>
              </w:rPr>
              <w:t>本项目位于安康市平利县，经过现场踏勘，本项目东侧为大广路（X209），南侧为小型养殖场，东南侧为石粉加工厂，西侧为黄洋河，北侧为林地，场地中部少量地块为农田（暂未征收）。根据企业提供的资料，本项目所在地块土地性质为建设用地。</w:t>
            </w:r>
          </w:p>
          <w:p>
            <w:pPr>
              <w:ind w:firstLine="480" w:firstLineChars="200"/>
            </w:pPr>
            <w:r>
              <w:rPr>
                <w:rFonts w:hint="eastAsia"/>
              </w:rPr>
              <w:t>项目周边不涉及</w:t>
            </w:r>
            <w:r>
              <w:rPr>
                <w:rFonts w:hint="eastAsia" w:eastAsia="宋体" w:cs="Times New Roman"/>
                <w:szCs w:val="24"/>
              </w:rPr>
              <w:t>风景名胜区、饮用水源保护区和保护文物等环境敏感区，且项目产生废气、废水、噪声以及固体废物等采取相应的措施后，均能得到有效控制并实现达标排放。对周围环境影响较小，从环保角度分析，项目选址可行。</w:t>
            </w:r>
          </w:p>
          <w:p>
            <w:pPr>
              <w:ind w:firstLine="482" w:firstLineChars="200"/>
              <w:rPr>
                <w:b/>
                <w:bCs/>
              </w:rPr>
            </w:pPr>
            <w:r>
              <w:rPr>
                <w:rFonts w:hint="eastAsia"/>
                <w:b/>
                <w:bCs/>
              </w:rPr>
              <w:t>（三）</w:t>
            </w:r>
            <w:r>
              <w:rPr>
                <w:b/>
                <w:bCs/>
              </w:rPr>
              <w:t>“三线一单”符合性分析</w:t>
            </w:r>
          </w:p>
          <w:p>
            <w:pPr>
              <w:ind w:firstLine="480" w:firstLineChars="200"/>
            </w:pPr>
            <w:r>
              <w:rPr>
                <w:rFonts w:hint="eastAsia"/>
              </w:rPr>
              <w:t>根据《安康市“三线一单”生态环境分区管控方案（安政发〔2021〕18 号》、《安康市生态环境管控单元分布图》。本项目位于安康市一般管控单元，应执行安康市生态环境总体准入清单，并落实其他相关生态环境保护要求。</w:t>
            </w:r>
          </w:p>
          <w:p>
            <w:pPr>
              <w:pStyle w:val="28"/>
            </w:pPr>
            <w:r>
              <w:t>表1-1  本项目与“三线”相符性分析</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57"/>
              <w:gridCol w:w="2966"/>
              <w:gridCol w:w="145"/>
              <w:gridCol w:w="2269"/>
              <w:gridCol w:w="7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Borders>
                    <w:tl2br w:val="nil"/>
                    <w:tr2bl w:val="nil"/>
                  </w:tcBorders>
                  <w:vAlign w:val="center"/>
                </w:tcPr>
                <w:p>
                  <w:pPr>
                    <w:pStyle w:val="27"/>
                    <w:jc w:val="center"/>
                  </w:pPr>
                  <w:r>
                    <w:rPr>
                      <w:rFonts w:hint="eastAsia"/>
                    </w:rPr>
                    <w:t>三线一单</w:t>
                  </w:r>
                </w:p>
              </w:tc>
              <w:tc>
                <w:tcPr>
                  <w:tcW w:w="2592" w:type="pct"/>
                  <w:gridSpan w:val="3"/>
                  <w:tcBorders>
                    <w:tl2br w:val="nil"/>
                    <w:tr2bl w:val="nil"/>
                  </w:tcBorders>
                  <w:vAlign w:val="center"/>
                </w:tcPr>
                <w:p>
                  <w:pPr>
                    <w:pStyle w:val="27"/>
                    <w:jc w:val="center"/>
                  </w:pPr>
                  <w:r>
                    <w:rPr>
                      <w:rFonts w:hint="eastAsia"/>
                    </w:rPr>
                    <w:t>要求</w:t>
                  </w:r>
                </w:p>
              </w:tc>
              <w:tc>
                <w:tcPr>
                  <w:tcW w:w="1482" w:type="pct"/>
                  <w:tcBorders>
                    <w:tl2br w:val="nil"/>
                    <w:tr2bl w:val="nil"/>
                  </w:tcBorders>
                  <w:vAlign w:val="center"/>
                </w:tcPr>
                <w:p>
                  <w:pPr>
                    <w:pStyle w:val="27"/>
                    <w:jc w:val="center"/>
                  </w:pPr>
                  <w:r>
                    <w:t>项目情况</w:t>
                  </w:r>
                </w:p>
              </w:tc>
              <w:tc>
                <w:tcPr>
                  <w:tcW w:w="475" w:type="pct"/>
                  <w:tcBorders>
                    <w:tl2br w:val="nil"/>
                    <w:tr2bl w:val="nil"/>
                  </w:tcBorders>
                  <w:vAlign w:val="center"/>
                </w:tcPr>
                <w:p>
                  <w:pPr>
                    <w:pStyle w:val="27"/>
                    <w:jc w:val="center"/>
                  </w:pPr>
                  <w: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1" w:type="pct"/>
                  <w:tcBorders>
                    <w:tl2br w:val="nil"/>
                    <w:tr2bl w:val="nil"/>
                  </w:tcBorders>
                  <w:vAlign w:val="center"/>
                </w:tcPr>
                <w:p>
                  <w:pPr>
                    <w:pStyle w:val="27"/>
                    <w:jc w:val="center"/>
                  </w:pPr>
                  <w:r>
                    <w:rPr>
                      <w:rFonts w:hint="eastAsia"/>
                    </w:rPr>
                    <w:t>生态保护红线</w:t>
                  </w:r>
                </w:p>
              </w:tc>
              <w:tc>
                <w:tcPr>
                  <w:tcW w:w="2592" w:type="pct"/>
                  <w:gridSpan w:val="3"/>
                  <w:tcBorders>
                    <w:tl2br w:val="nil"/>
                    <w:tr2bl w:val="nil"/>
                  </w:tcBorders>
                </w:tcPr>
                <w:p>
                  <w:pPr>
                    <w:pStyle w:val="27"/>
                    <w:jc w:val="center"/>
                  </w:pPr>
                  <w:r>
                    <w:rPr>
                      <w:rFonts w:hint="eastAsia"/>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482" w:type="pct"/>
                  <w:tcBorders>
                    <w:tl2br w:val="nil"/>
                    <w:tr2bl w:val="nil"/>
                  </w:tcBorders>
                  <w:vAlign w:val="center"/>
                </w:tcPr>
                <w:p>
                  <w:pPr>
                    <w:pStyle w:val="27"/>
                    <w:jc w:val="center"/>
                  </w:pPr>
                  <w:r>
                    <w:rPr>
                      <w:rFonts w:hint="eastAsia"/>
                    </w:rPr>
                    <w:t>本项目位于</w:t>
                  </w:r>
                  <w:r>
                    <w:t>根据《陕西省生态保护红线划定方案》，</w:t>
                  </w:r>
                  <w:r>
                    <w:rPr>
                      <w:rFonts w:hint="eastAsia"/>
                    </w:rPr>
                    <w:t>经过叠图分析本项目不涉及生态保护红线</w:t>
                  </w:r>
                  <w:r>
                    <w:t>，符合陕西省生态保护红线划定方案的要求。</w:t>
                  </w:r>
                </w:p>
              </w:tc>
              <w:tc>
                <w:tcPr>
                  <w:tcW w:w="475" w:type="pct"/>
                  <w:vMerge w:val="restart"/>
                  <w:tcBorders>
                    <w:tl2br w:val="nil"/>
                    <w:tr2bl w:val="nil"/>
                  </w:tcBorders>
                  <w:vAlign w:val="center"/>
                </w:tcPr>
                <w:p>
                  <w:pPr>
                    <w:pStyle w:val="27"/>
                    <w:jc w:val="center"/>
                  </w:pPr>
                  <w: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1" w:type="pct"/>
                  <w:tcBorders>
                    <w:tl2br w:val="nil"/>
                    <w:tr2bl w:val="nil"/>
                  </w:tcBorders>
                  <w:vAlign w:val="center"/>
                </w:tcPr>
                <w:p>
                  <w:pPr>
                    <w:pStyle w:val="27"/>
                    <w:jc w:val="center"/>
                  </w:pPr>
                  <w:r>
                    <w:rPr>
                      <w:rFonts w:hint="eastAsia"/>
                    </w:rPr>
                    <w:t>环境质量底线</w:t>
                  </w:r>
                </w:p>
              </w:tc>
              <w:tc>
                <w:tcPr>
                  <w:tcW w:w="2592" w:type="pct"/>
                  <w:gridSpan w:val="3"/>
                  <w:tcBorders>
                    <w:tl2br w:val="nil"/>
                    <w:tr2bl w:val="nil"/>
                  </w:tcBorders>
                </w:tcPr>
                <w:p>
                  <w:pPr>
                    <w:pStyle w:val="27"/>
                    <w:jc w:val="center"/>
                  </w:pPr>
                  <w:r>
                    <w:rPr>
                      <w:rFonts w:hint="eastAsia"/>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482" w:type="pct"/>
                  <w:tcBorders>
                    <w:tl2br w:val="nil"/>
                    <w:tr2bl w:val="nil"/>
                  </w:tcBorders>
                  <w:vAlign w:val="center"/>
                </w:tcPr>
                <w:p>
                  <w:pPr>
                    <w:pStyle w:val="27"/>
                    <w:jc w:val="center"/>
                  </w:pPr>
                  <w:r>
                    <w:t>本项目评价范围内环境质量现状良好，项目实施后产生的</w:t>
                  </w:r>
                  <w:r>
                    <w:rPr>
                      <w:rFonts w:hint="eastAsia"/>
                    </w:rPr>
                    <w:t>各类污染</w:t>
                  </w:r>
                  <w:r>
                    <w:t>等虽然对大气环境、声环境造成一定的负面影响，但</w:t>
                  </w:r>
                  <w:r>
                    <w:rPr>
                      <w:rFonts w:hint="eastAsia"/>
                    </w:rPr>
                    <w:t>污染物排放量很小，</w:t>
                  </w:r>
                  <w:r>
                    <w:t>对</w:t>
                  </w:r>
                  <w:r>
                    <w:rPr>
                      <w:rFonts w:hint="eastAsia"/>
                    </w:rPr>
                    <w:t>环境</w:t>
                  </w:r>
                  <w:r>
                    <w:t>影响程度很小，不会改变环境功能区，能够符合环境质量底线。</w:t>
                  </w:r>
                </w:p>
              </w:tc>
              <w:tc>
                <w:tcPr>
                  <w:tcW w:w="475" w:type="pct"/>
                  <w:vMerge w:val="continue"/>
                  <w:tcBorders>
                    <w:tl2br w:val="nil"/>
                    <w:tr2bl w:val="nil"/>
                  </w:tcBorders>
                  <w:vAlign w:val="center"/>
                </w:tcPr>
                <w:p>
                  <w:pPr>
                    <w:pStyle w:val="27"/>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1" w:type="pct"/>
                  <w:tcBorders>
                    <w:tl2br w:val="nil"/>
                    <w:tr2bl w:val="nil"/>
                  </w:tcBorders>
                  <w:vAlign w:val="center"/>
                </w:tcPr>
                <w:p>
                  <w:pPr>
                    <w:pStyle w:val="27"/>
                    <w:jc w:val="center"/>
                  </w:pPr>
                  <w:r>
                    <w:rPr>
                      <w:rFonts w:hint="eastAsia"/>
                    </w:rPr>
                    <w:t>资源利用上线</w:t>
                  </w:r>
                </w:p>
              </w:tc>
              <w:tc>
                <w:tcPr>
                  <w:tcW w:w="2592" w:type="pct"/>
                  <w:gridSpan w:val="3"/>
                  <w:tcBorders>
                    <w:tl2br w:val="nil"/>
                    <w:tr2bl w:val="nil"/>
                  </w:tcBorders>
                </w:tcPr>
                <w:p>
                  <w:pPr>
                    <w:pStyle w:val="27"/>
                    <w:jc w:val="center"/>
                  </w:pPr>
                  <w:r>
                    <w:rPr>
                      <w:rFonts w:hint="eastAsia"/>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1482" w:type="pct"/>
                  <w:tcBorders>
                    <w:tl2br w:val="nil"/>
                    <w:tr2bl w:val="nil"/>
                  </w:tcBorders>
                  <w:vAlign w:val="center"/>
                </w:tcPr>
                <w:p>
                  <w:pPr>
                    <w:pStyle w:val="27"/>
                    <w:jc w:val="center"/>
                  </w:pPr>
                  <w:r>
                    <w:rPr>
                      <w:rFonts w:hint="eastAsia"/>
                    </w:rPr>
                    <w:t>水资源消耗量较少，</w:t>
                  </w:r>
                  <w:r>
                    <w:t>不属于高耗能高污染的生产企业，项目总体耗能较小，用水、电、土等资源不会突破区域的资源利用上线。</w:t>
                  </w:r>
                </w:p>
              </w:tc>
              <w:tc>
                <w:tcPr>
                  <w:tcW w:w="475" w:type="pct"/>
                  <w:vMerge w:val="continue"/>
                  <w:tcBorders>
                    <w:tl2br w:val="nil"/>
                    <w:tr2bl w:val="nil"/>
                  </w:tcBorders>
                  <w:vAlign w:val="center"/>
                </w:tcPr>
                <w:p>
                  <w:pPr>
                    <w:pStyle w:val="27"/>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Borders>
                    <w:tl2br w:val="nil"/>
                    <w:tr2bl w:val="nil"/>
                  </w:tcBorders>
                  <w:vAlign w:val="center"/>
                </w:tcPr>
                <w:p>
                  <w:pPr>
                    <w:pStyle w:val="27"/>
                    <w:jc w:val="center"/>
                  </w:pPr>
                  <w:r>
                    <w:rPr>
                      <w:rFonts w:hint="eastAsia"/>
                    </w:rPr>
                    <w:t>产业准入负面清单</w:t>
                  </w:r>
                </w:p>
              </w:tc>
              <w:tc>
                <w:tcPr>
                  <w:tcW w:w="2592" w:type="pct"/>
                  <w:gridSpan w:val="3"/>
                  <w:tcBorders>
                    <w:tl2br w:val="nil"/>
                    <w:tr2bl w:val="nil"/>
                  </w:tcBorders>
                </w:tcPr>
                <w:p>
                  <w:pPr>
                    <w:pStyle w:val="27"/>
                    <w:jc w:val="center"/>
                  </w:pPr>
                  <w:r>
                    <w:rPr>
                      <w:rFonts w:hint="eastAsia"/>
                    </w:rPr>
                    <w:t>平利县地处秦巴生物多样性生态功能区。限制类涉及3门类9大类9中类10小类，禁止类涉及2门类2大类2中类2小类。</w:t>
                  </w:r>
                </w:p>
              </w:tc>
              <w:tc>
                <w:tcPr>
                  <w:tcW w:w="1482" w:type="pct"/>
                  <w:tcBorders>
                    <w:tl2br w:val="nil"/>
                    <w:tr2bl w:val="nil"/>
                  </w:tcBorders>
                  <w:vAlign w:val="center"/>
                </w:tcPr>
                <w:p>
                  <w:pPr>
                    <w:pStyle w:val="27"/>
                    <w:jc w:val="center"/>
                  </w:pPr>
                  <w:r>
                    <w:rPr>
                      <w:rFonts w:hint="eastAsia"/>
                    </w:rPr>
                    <w:t>本项目不属于平利县国家重点生态功能区产业准入负面清单内限制类及禁止类产业。</w:t>
                  </w:r>
                </w:p>
              </w:tc>
              <w:tc>
                <w:tcPr>
                  <w:tcW w:w="475" w:type="pct"/>
                  <w:vMerge w:val="continue"/>
                  <w:tcBorders>
                    <w:tl2br w:val="nil"/>
                    <w:tr2bl w:val="nil"/>
                  </w:tcBorders>
                  <w:vAlign w:val="center"/>
                </w:tcPr>
                <w:p>
                  <w:pPr>
                    <w:pStyle w:val="27"/>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tcBorders>
                    <w:tl2br w:val="nil"/>
                    <w:tr2bl w:val="nil"/>
                  </w:tcBorders>
                </w:tcPr>
                <w:p>
                  <w:pPr>
                    <w:pStyle w:val="28"/>
                  </w:pPr>
                  <w:r>
                    <w:rPr>
                      <w:rFonts w:hint="eastAsia"/>
                    </w:rPr>
                    <w:t>表1</w:t>
                  </w:r>
                  <w:r>
                    <w:t xml:space="preserve">-2  </w:t>
                  </w:r>
                  <w:r>
                    <w:rPr>
                      <w:rFonts w:hint="eastAsia"/>
                    </w:rPr>
                    <w:t>本项目与《安康市生态环境准入清单》相符性分析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Borders>
                    <w:tl2br w:val="nil"/>
                    <w:tr2bl w:val="nil"/>
                  </w:tcBorders>
                  <w:vAlign w:val="center"/>
                </w:tcPr>
                <w:p>
                  <w:pPr>
                    <w:pStyle w:val="27"/>
                    <w:jc w:val="center"/>
                  </w:pPr>
                  <w:r>
                    <w:rPr>
                      <w:rFonts w:hint="eastAsia"/>
                    </w:rPr>
                    <w:t>适用范围</w:t>
                  </w:r>
                </w:p>
              </w:tc>
              <w:tc>
                <w:tcPr>
                  <w:tcW w:w="560" w:type="pct"/>
                  <w:tcBorders>
                    <w:tl2br w:val="nil"/>
                    <w:tr2bl w:val="nil"/>
                  </w:tcBorders>
                  <w:vAlign w:val="center"/>
                </w:tcPr>
                <w:p>
                  <w:pPr>
                    <w:pStyle w:val="27"/>
                    <w:jc w:val="center"/>
                  </w:pPr>
                  <w:r>
                    <w:rPr>
                      <w:rFonts w:hint="eastAsia"/>
                    </w:rPr>
                    <w:t>管控维度</w:t>
                  </w:r>
                </w:p>
              </w:tc>
              <w:tc>
                <w:tcPr>
                  <w:tcW w:w="1937" w:type="pct"/>
                  <w:tcBorders>
                    <w:tl2br w:val="nil"/>
                    <w:tr2bl w:val="nil"/>
                  </w:tcBorders>
                  <w:vAlign w:val="center"/>
                </w:tcPr>
                <w:p>
                  <w:pPr>
                    <w:pStyle w:val="27"/>
                    <w:jc w:val="center"/>
                  </w:pPr>
                  <w:r>
                    <w:rPr>
                      <w:rFonts w:hint="eastAsia"/>
                    </w:rPr>
                    <w:t>管控要求</w:t>
                  </w:r>
                </w:p>
              </w:tc>
              <w:tc>
                <w:tcPr>
                  <w:tcW w:w="1577" w:type="pct"/>
                  <w:gridSpan w:val="2"/>
                  <w:tcBorders>
                    <w:tl2br w:val="nil"/>
                    <w:tr2bl w:val="nil"/>
                  </w:tcBorders>
                  <w:vAlign w:val="center"/>
                </w:tcPr>
                <w:p>
                  <w:pPr>
                    <w:pStyle w:val="27"/>
                    <w:jc w:val="center"/>
                  </w:pPr>
                  <w:r>
                    <w:rPr>
                      <w:rFonts w:hint="eastAsia"/>
                    </w:rPr>
                    <w:t>项目情况</w:t>
                  </w:r>
                </w:p>
              </w:tc>
              <w:tc>
                <w:tcPr>
                  <w:tcW w:w="475" w:type="pct"/>
                  <w:tcBorders>
                    <w:tl2br w:val="nil"/>
                    <w:tr2bl w:val="nil"/>
                  </w:tcBorders>
                  <w:vAlign w:val="center"/>
                </w:tcPr>
                <w:p>
                  <w:pPr>
                    <w:pStyle w:val="27"/>
                    <w:jc w:val="center"/>
                  </w:pPr>
                  <w:r>
                    <w:rPr>
                      <w:rFonts w:hint="eastAsia"/>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51" w:type="pct"/>
                  <w:vMerge w:val="restart"/>
                  <w:tcBorders>
                    <w:tl2br w:val="nil"/>
                    <w:tr2bl w:val="nil"/>
                  </w:tcBorders>
                  <w:vAlign w:val="center"/>
                </w:tcPr>
                <w:p>
                  <w:pPr>
                    <w:pStyle w:val="27"/>
                    <w:jc w:val="center"/>
                  </w:pPr>
                </w:p>
                <w:p>
                  <w:pPr>
                    <w:pStyle w:val="27"/>
                    <w:jc w:val="center"/>
                  </w:pPr>
                </w:p>
                <w:p>
                  <w:pPr>
                    <w:pStyle w:val="27"/>
                    <w:jc w:val="center"/>
                  </w:pPr>
                  <w:r>
                    <w:rPr>
                      <w:rFonts w:hint="eastAsia"/>
                    </w:rPr>
                    <w:t>一般管控单元</w:t>
                  </w: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p>
                <w:p>
                  <w:pPr>
                    <w:pStyle w:val="27"/>
                    <w:jc w:val="center"/>
                  </w:pPr>
                  <w:r>
                    <w:rPr>
                      <w:rFonts w:hint="eastAsia"/>
                    </w:rPr>
                    <w:t>总体要求</w:t>
                  </w:r>
                </w:p>
              </w:tc>
              <w:tc>
                <w:tcPr>
                  <w:tcW w:w="560" w:type="pct"/>
                  <w:vMerge w:val="restart"/>
                  <w:tcBorders>
                    <w:tl2br w:val="nil"/>
                    <w:tr2bl w:val="nil"/>
                  </w:tcBorders>
                  <w:vAlign w:val="center"/>
                </w:tcPr>
                <w:p>
                  <w:pPr>
                    <w:pStyle w:val="27"/>
                    <w:jc w:val="center"/>
                  </w:pPr>
                  <w:r>
                    <w:rPr>
                      <w:rFonts w:hint="eastAsia"/>
                    </w:rPr>
                    <w:t>空间布局约束</w:t>
                  </w:r>
                </w:p>
              </w:tc>
              <w:tc>
                <w:tcPr>
                  <w:tcW w:w="1937" w:type="pct"/>
                  <w:tcBorders>
                    <w:tl2br w:val="nil"/>
                    <w:tr2bl w:val="nil"/>
                  </w:tcBorders>
                  <w:vAlign w:val="center"/>
                </w:tcPr>
                <w:p>
                  <w:pPr>
                    <w:pStyle w:val="27"/>
                    <w:jc w:val="center"/>
                  </w:pPr>
                  <w:r>
                    <w:rPr>
                      <w:rFonts w:hint="eastAsia"/>
                    </w:rPr>
                    <w:t>1.本行政区域内的自然保护区、风景名胜区、森林公园、地质公园、世界自然和文化遗产、饮用水水源保护区等区域的禁止性和限制性准入要求依照国家相关法律法规执行。</w:t>
                  </w:r>
                </w:p>
              </w:tc>
              <w:tc>
                <w:tcPr>
                  <w:tcW w:w="1577" w:type="pct"/>
                  <w:gridSpan w:val="2"/>
                  <w:tcBorders>
                    <w:tl2br w:val="nil"/>
                    <w:tr2bl w:val="nil"/>
                  </w:tcBorders>
                  <w:vAlign w:val="center"/>
                </w:tcPr>
                <w:p>
                  <w:pPr>
                    <w:pStyle w:val="27"/>
                    <w:jc w:val="center"/>
                  </w:pPr>
                  <w:r>
                    <w:rPr>
                      <w:rFonts w:hint="eastAsia"/>
                    </w:rPr>
                    <w:t>本项目位于安康市平利县洛河镇莲花台村，项目所在地不涉及自然保护区、风景名胜区等区域。</w:t>
                  </w:r>
                </w:p>
              </w:tc>
              <w:tc>
                <w:tcPr>
                  <w:tcW w:w="475" w:type="pct"/>
                  <w:vMerge w:val="restar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51" w:type="pct"/>
                  <w:vMerge w:val="continue"/>
                  <w:tcBorders>
                    <w:tl2br w:val="nil"/>
                    <w:tr2bl w:val="nil"/>
                  </w:tcBorders>
                  <w:vAlign w:val="center"/>
                </w:tcPr>
                <w:p>
                  <w:pPr>
                    <w:pStyle w:val="27"/>
                    <w:jc w:val="center"/>
                  </w:pPr>
                </w:p>
              </w:tc>
              <w:tc>
                <w:tcPr>
                  <w:tcW w:w="560" w:type="pct"/>
                  <w:vMerge w:val="continue"/>
                  <w:tcBorders>
                    <w:tl2br w:val="nil"/>
                    <w:tr2bl w:val="nil"/>
                  </w:tcBorders>
                  <w:vAlign w:val="center"/>
                </w:tcPr>
                <w:p>
                  <w:pPr>
                    <w:pStyle w:val="27"/>
                    <w:jc w:val="center"/>
                  </w:pPr>
                </w:p>
              </w:tc>
              <w:tc>
                <w:tcPr>
                  <w:tcW w:w="1937" w:type="pct"/>
                  <w:tcBorders>
                    <w:tl2br w:val="nil"/>
                    <w:tr2bl w:val="nil"/>
                  </w:tcBorders>
                  <w:vAlign w:val="center"/>
                </w:tcPr>
                <w:p>
                  <w:pPr>
                    <w:pStyle w:val="27"/>
                    <w:jc w:val="center"/>
                  </w:pPr>
                  <w:r>
                    <w:rPr>
                      <w:rFonts w:hint="eastAsia"/>
                    </w:rPr>
                    <w:t>2.禁止在优先保护耕地内新建有色金属采选、冶炼、化工、医药、电镀、铅蓄电池制造、煤炭开采等行业企业，现有相关行业企业要采用新技术、新工艺，加快提标升级改造步伐。</w:t>
                  </w:r>
                </w:p>
              </w:tc>
              <w:tc>
                <w:tcPr>
                  <w:tcW w:w="1577" w:type="pct"/>
                  <w:gridSpan w:val="2"/>
                  <w:vMerge w:val="restart"/>
                  <w:tcBorders>
                    <w:tl2br w:val="nil"/>
                    <w:tr2bl w:val="nil"/>
                  </w:tcBorders>
                  <w:vAlign w:val="center"/>
                </w:tcPr>
                <w:p>
                  <w:pPr>
                    <w:pStyle w:val="27"/>
                    <w:jc w:val="center"/>
                  </w:pPr>
                  <w:r>
                    <w:rPr>
                      <w:rFonts w:hint="eastAsia"/>
                    </w:rPr>
                    <w:t>本项目位于一般管控单元，不在优先保护耕地内，且项目不属于有色金属采选、冶炼等行业。</w:t>
                  </w:r>
                </w:p>
              </w:tc>
              <w:tc>
                <w:tcPr>
                  <w:tcW w:w="475" w:type="pct"/>
                  <w:vMerge w:val="continue"/>
                  <w:tcBorders>
                    <w:tl2br w:val="nil"/>
                    <w:tr2bl w:val="nil"/>
                  </w:tcBorders>
                  <w:vAlign w:val="center"/>
                </w:tcPr>
                <w:p>
                  <w:pPr>
                    <w:pStyle w:val="27"/>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51" w:type="pct"/>
                  <w:vMerge w:val="continue"/>
                  <w:tcBorders>
                    <w:tl2br w:val="nil"/>
                    <w:tr2bl w:val="nil"/>
                  </w:tcBorders>
                  <w:vAlign w:val="center"/>
                </w:tcPr>
                <w:p>
                  <w:pPr>
                    <w:pStyle w:val="27"/>
                    <w:jc w:val="center"/>
                  </w:pPr>
                </w:p>
              </w:tc>
              <w:tc>
                <w:tcPr>
                  <w:tcW w:w="560" w:type="pct"/>
                  <w:vMerge w:val="continue"/>
                  <w:tcBorders>
                    <w:tl2br w:val="nil"/>
                    <w:tr2bl w:val="nil"/>
                  </w:tcBorders>
                  <w:vAlign w:val="center"/>
                </w:tcPr>
                <w:p>
                  <w:pPr>
                    <w:pStyle w:val="27"/>
                    <w:jc w:val="center"/>
                  </w:pPr>
                </w:p>
              </w:tc>
              <w:tc>
                <w:tcPr>
                  <w:tcW w:w="1937" w:type="pct"/>
                  <w:tcBorders>
                    <w:tl2br w:val="nil"/>
                    <w:tr2bl w:val="nil"/>
                  </w:tcBorders>
                  <w:vAlign w:val="center"/>
                </w:tcPr>
                <w:p>
                  <w:pPr>
                    <w:pStyle w:val="27"/>
                    <w:jc w:val="center"/>
                  </w:pPr>
                  <w:r>
                    <w:rPr>
                      <w:rFonts w:hint="eastAsia"/>
                    </w:rPr>
                    <w:t>3.禁止在居民区、学校、医院和养老机构等周边新建、扩建有色金属采选、冶炼、化工等行业企业。</w:t>
                  </w:r>
                </w:p>
              </w:tc>
              <w:tc>
                <w:tcPr>
                  <w:tcW w:w="1577" w:type="pct"/>
                  <w:gridSpan w:val="2"/>
                  <w:vMerge w:val="continue"/>
                  <w:tcBorders>
                    <w:tl2br w:val="nil"/>
                    <w:tr2bl w:val="nil"/>
                  </w:tcBorders>
                  <w:vAlign w:val="center"/>
                </w:tcPr>
                <w:p>
                  <w:pPr>
                    <w:pStyle w:val="27"/>
                    <w:jc w:val="center"/>
                  </w:pPr>
                </w:p>
              </w:tc>
              <w:tc>
                <w:tcPr>
                  <w:tcW w:w="475" w:type="pct"/>
                  <w:vMerge w:val="continue"/>
                  <w:tcBorders>
                    <w:tl2br w:val="nil"/>
                    <w:tr2bl w:val="nil"/>
                  </w:tcBorders>
                  <w:vAlign w:val="center"/>
                </w:tcPr>
                <w:p>
                  <w:pPr>
                    <w:pStyle w:val="27"/>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51" w:type="pct"/>
                  <w:vMerge w:val="continue"/>
                  <w:tcBorders>
                    <w:tl2br w:val="nil"/>
                    <w:tr2bl w:val="nil"/>
                  </w:tcBorders>
                  <w:vAlign w:val="center"/>
                </w:tcPr>
                <w:p>
                  <w:pPr>
                    <w:pStyle w:val="27"/>
                    <w:jc w:val="center"/>
                  </w:pPr>
                </w:p>
              </w:tc>
              <w:tc>
                <w:tcPr>
                  <w:tcW w:w="560" w:type="pct"/>
                  <w:vMerge w:val="continue"/>
                  <w:tcBorders>
                    <w:tl2br w:val="nil"/>
                    <w:tr2bl w:val="nil"/>
                  </w:tcBorders>
                  <w:vAlign w:val="center"/>
                </w:tcPr>
                <w:p>
                  <w:pPr>
                    <w:pStyle w:val="27"/>
                    <w:jc w:val="center"/>
                  </w:pPr>
                </w:p>
              </w:tc>
              <w:tc>
                <w:tcPr>
                  <w:tcW w:w="1937" w:type="pct"/>
                  <w:tcBorders>
                    <w:tl2br w:val="nil"/>
                    <w:tr2bl w:val="nil"/>
                  </w:tcBorders>
                  <w:vAlign w:val="center"/>
                </w:tcPr>
                <w:p>
                  <w:pPr>
                    <w:pStyle w:val="27"/>
                    <w:jc w:val="center"/>
                  </w:pPr>
                  <w:r>
                    <w:rPr>
                      <w:rFonts w:hint="eastAsia"/>
                    </w:rPr>
                    <w:t>4.淘汰涉重金属重点行业落后产能，严格执行重金属相关行业准入条件，禁止新建落后产能或者产能严重过剩行业的建设项目。</w:t>
                  </w:r>
                </w:p>
              </w:tc>
              <w:tc>
                <w:tcPr>
                  <w:tcW w:w="1577" w:type="pct"/>
                  <w:gridSpan w:val="2"/>
                  <w:tcBorders>
                    <w:tl2br w:val="nil"/>
                    <w:tr2bl w:val="nil"/>
                  </w:tcBorders>
                  <w:vAlign w:val="center"/>
                </w:tcPr>
                <w:p>
                  <w:pPr>
                    <w:pStyle w:val="27"/>
                    <w:jc w:val="center"/>
                  </w:pPr>
                  <w:r>
                    <w:rPr>
                      <w:rFonts w:hint="eastAsia"/>
                    </w:rPr>
                    <w:t>本项目不属于重金属行业，不属于落后产能或者产能过剩行业。</w:t>
                  </w:r>
                </w:p>
              </w:tc>
              <w:tc>
                <w:tcPr>
                  <w:tcW w:w="475" w:type="pct"/>
                  <w:vMerge w:val="continue"/>
                  <w:tcBorders>
                    <w:tl2br w:val="nil"/>
                    <w:tr2bl w:val="nil"/>
                  </w:tcBorders>
                  <w:vAlign w:val="center"/>
                </w:tcPr>
                <w:p>
                  <w:pPr>
                    <w:pStyle w:val="27"/>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451" w:type="pct"/>
                  <w:vMerge w:val="continue"/>
                  <w:tcBorders>
                    <w:tl2br w:val="nil"/>
                    <w:tr2bl w:val="nil"/>
                  </w:tcBorders>
                  <w:vAlign w:val="center"/>
                </w:tcPr>
                <w:p>
                  <w:pPr>
                    <w:pStyle w:val="27"/>
                    <w:jc w:val="center"/>
                  </w:pPr>
                </w:p>
              </w:tc>
              <w:tc>
                <w:tcPr>
                  <w:tcW w:w="560" w:type="pct"/>
                  <w:tcBorders>
                    <w:tl2br w:val="nil"/>
                    <w:tr2bl w:val="nil"/>
                  </w:tcBorders>
                  <w:vAlign w:val="center"/>
                </w:tcPr>
                <w:p>
                  <w:pPr>
                    <w:pStyle w:val="27"/>
                    <w:jc w:val="center"/>
                  </w:pPr>
                  <w:r>
                    <w:rPr>
                      <w:rFonts w:hint="eastAsia"/>
                    </w:rPr>
                    <w:t>污染排放管控</w:t>
                  </w:r>
                </w:p>
              </w:tc>
              <w:tc>
                <w:tcPr>
                  <w:tcW w:w="1937" w:type="pct"/>
                  <w:tcBorders>
                    <w:tl2br w:val="nil"/>
                    <w:tr2bl w:val="nil"/>
                  </w:tcBorders>
                  <w:vAlign w:val="center"/>
                </w:tcPr>
                <w:p>
                  <w:pPr>
                    <w:pStyle w:val="27"/>
                    <w:jc w:val="center"/>
                  </w:pPr>
                  <w:r>
                    <w:rPr>
                      <w:rFonts w:hint="eastAsia"/>
                    </w:rPr>
                    <w:t>1.新建“两高”项目应按照《关于加强重点行业建设项目区域削减措施监督管理的通知》要求，依据区域环境质量改善目标，制定配套区域污染物削减方案，采取有效的污染物区域削减措施，腾出足够的环境容量。2.禁止工矿企业在废水、废气和废渣处置过程中将污染物向土壤环境转移。</w:t>
                  </w:r>
                </w:p>
              </w:tc>
              <w:tc>
                <w:tcPr>
                  <w:tcW w:w="1577" w:type="pct"/>
                  <w:gridSpan w:val="2"/>
                  <w:tcBorders>
                    <w:tl2br w:val="nil"/>
                    <w:tr2bl w:val="nil"/>
                  </w:tcBorders>
                  <w:vAlign w:val="center"/>
                </w:tcPr>
                <w:p>
                  <w:pPr>
                    <w:pStyle w:val="27"/>
                    <w:jc w:val="center"/>
                  </w:pPr>
                  <w:r>
                    <w:rPr>
                      <w:rFonts w:hint="eastAsia"/>
                    </w:rPr>
                    <w:t>本项目不属于“两高”项目，污染物产生与排放量很小，在采取相应的污染治理设施后均能做到达标排放或合理的处理处置。</w:t>
                  </w:r>
                </w:p>
              </w:tc>
              <w:tc>
                <w:tcPr>
                  <w:tcW w:w="475" w:type="pc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51" w:type="pct"/>
                  <w:vMerge w:val="continue"/>
                  <w:tcBorders>
                    <w:tl2br w:val="nil"/>
                    <w:tr2bl w:val="nil"/>
                  </w:tcBorders>
                  <w:vAlign w:val="center"/>
                </w:tcPr>
                <w:p>
                  <w:pPr>
                    <w:pStyle w:val="27"/>
                    <w:jc w:val="center"/>
                  </w:pPr>
                </w:p>
              </w:tc>
              <w:tc>
                <w:tcPr>
                  <w:tcW w:w="560" w:type="pct"/>
                  <w:tcBorders>
                    <w:tl2br w:val="nil"/>
                    <w:tr2bl w:val="nil"/>
                  </w:tcBorders>
                  <w:vAlign w:val="center"/>
                </w:tcPr>
                <w:p>
                  <w:pPr>
                    <w:pStyle w:val="27"/>
                    <w:jc w:val="center"/>
                  </w:pPr>
                  <w:r>
                    <w:rPr>
                      <w:rFonts w:hint="eastAsia"/>
                    </w:rPr>
                    <w:t>环境风险防控</w:t>
                  </w:r>
                </w:p>
              </w:tc>
              <w:tc>
                <w:tcPr>
                  <w:tcW w:w="1937" w:type="pct"/>
                  <w:tcBorders>
                    <w:tl2br w:val="nil"/>
                    <w:tr2bl w:val="nil"/>
                  </w:tcBorders>
                  <w:vAlign w:val="center"/>
                </w:tcPr>
                <w:p>
                  <w:pPr>
                    <w:pStyle w:val="27"/>
                    <w:jc w:val="center"/>
                  </w:pPr>
                  <w:r>
                    <w:rPr>
                      <w:rFonts w:hint="eastAsia"/>
                    </w:rPr>
                    <w:t>做好危险化学品运输和尾矿库环境风险防控。</w:t>
                  </w:r>
                </w:p>
              </w:tc>
              <w:tc>
                <w:tcPr>
                  <w:tcW w:w="1577" w:type="pct"/>
                  <w:gridSpan w:val="2"/>
                  <w:tcBorders>
                    <w:tl2br w:val="nil"/>
                    <w:tr2bl w:val="nil"/>
                  </w:tcBorders>
                  <w:vAlign w:val="center"/>
                </w:tcPr>
                <w:p>
                  <w:pPr>
                    <w:pStyle w:val="27"/>
                    <w:jc w:val="center"/>
                  </w:pPr>
                  <w:r>
                    <w:rPr>
                      <w:rFonts w:hint="eastAsia"/>
                    </w:rPr>
                    <w:t>本项目不使用危险化学品。</w:t>
                  </w:r>
                </w:p>
              </w:tc>
              <w:tc>
                <w:tcPr>
                  <w:tcW w:w="475" w:type="pc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Merge w:val="continue"/>
                  <w:tcBorders>
                    <w:tl2br w:val="nil"/>
                    <w:tr2bl w:val="nil"/>
                  </w:tcBorders>
                  <w:vAlign w:val="center"/>
                </w:tcPr>
                <w:p>
                  <w:pPr>
                    <w:pStyle w:val="27"/>
                    <w:jc w:val="center"/>
                  </w:pPr>
                </w:p>
              </w:tc>
              <w:tc>
                <w:tcPr>
                  <w:tcW w:w="560" w:type="pct"/>
                  <w:tcBorders>
                    <w:tl2br w:val="nil"/>
                    <w:tr2bl w:val="nil"/>
                  </w:tcBorders>
                  <w:vAlign w:val="center"/>
                </w:tcPr>
                <w:p>
                  <w:pPr>
                    <w:pStyle w:val="27"/>
                    <w:jc w:val="center"/>
                  </w:pPr>
                  <w:r>
                    <w:rPr>
                      <w:rFonts w:hint="eastAsia"/>
                    </w:rPr>
                    <w:t>资源利用效率要求</w:t>
                  </w:r>
                </w:p>
              </w:tc>
              <w:tc>
                <w:tcPr>
                  <w:tcW w:w="1937" w:type="pct"/>
                  <w:tcBorders>
                    <w:tl2br w:val="nil"/>
                    <w:tr2bl w:val="nil"/>
                  </w:tcBorders>
                  <w:vAlign w:val="center"/>
                </w:tcPr>
                <w:p>
                  <w:pPr>
                    <w:pStyle w:val="27"/>
                    <w:jc w:val="center"/>
                  </w:pPr>
                  <w:r>
                    <w:rPr>
                      <w:rFonts w:hint="eastAsia"/>
                    </w:rPr>
                    <w:t>推动高耗能行业技术创新和改造升级，新建、改（扩）建项目必须达到强制性能耗限额标准先进值和污染物排放标准。</w:t>
                  </w:r>
                </w:p>
              </w:tc>
              <w:tc>
                <w:tcPr>
                  <w:tcW w:w="1577" w:type="pct"/>
                  <w:gridSpan w:val="2"/>
                  <w:tcBorders>
                    <w:tl2br w:val="nil"/>
                    <w:tr2bl w:val="nil"/>
                  </w:tcBorders>
                  <w:vAlign w:val="center"/>
                </w:tcPr>
                <w:p>
                  <w:pPr>
                    <w:pStyle w:val="27"/>
                    <w:jc w:val="center"/>
                  </w:pPr>
                  <w:r>
                    <w:rPr>
                      <w:rFonts w:hint="eastAsia"/>
                    </w:rPr>
                    <w:t>本项目不属于高耗能行业采用先进的生产工艺与设备，生产用水量符合用水定额先进值，采取相应的措施后可实现综合利用。</w:t>
                  </w:r>
                </w:p>
              </w:tc>
              <w:tc>
                <w:tcPr>
                  <w:tcW w:w="475" w:type="pct"/>
                  <w:tcBorders>
                    <w:tl2br w:val="nil"/>
                    <w:tr2bl w:val="nil"/>
                  </w:tcBorders>
                  <w:vAlign w:val="center"/>
                </w:tcPr>
                <w:p>
                  <w:pPr>
                    <w:pStyle w:val="27"/>
                    <w:jc w:val="center"/>
                  </w:pPr>
                  <w:r>
                    <w:rPr>
                      <w:rFonts w:hint="eastAsia"/>
                    </w:rPr>
                    <w:t>符合</w:t>
                  </w:r>
                </w:p>
              </w:tc>
            </w:tr>
          </w:tbl>
          <w:p>
            <w:pPr>
              <w:rPr>
                <w:b/>
                <w:bCs/>
              </w:rPr>
            </w:pPr>
            <w:r>
              <w:rPr>
                <w:rFonts w:hint="eastAsia"/>
                <w:b/>
                <w:bCs/>
              </w:rPr>
              <w:t>（四）</w:t>
            </w:r>
            <w:r>
              <w:rPr>
                <w:b/>
                <w:bCs/>
              </w:rPr>
              <w:t>与相关环保政策符合性分析</w:t>
            </w:r>
          </w:p>
          <w:p>
            <w:pPr>
              <w:pStyle w:val="28"/>
            </w:pPr>
            <w:r>
              <w:t xml:space="preserve">表1-3  </w:t>
            </w:r>
            <w:r>
              <w:rPr>
                <w:rFonts w:hint="eastAsia"/>
              </w:rPr>
              <w:t>相关</w:t>
            </w:r>
            <w:r>
              <w:t>政策相符性分析</w:t>
            </w:r>
          </w:p>
          <w:tbl>
            <w:tblPr>
              <w:tblStyle w:val="20"/>
              <w:tblW w:w="488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3397"/>
              <w:gridCol w:w="2266"/>
              <w:gridCol w:w="6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9" w:type="pct"/>
                  <w:tcBorders>
                    <w:tl2br w:val="nil"/>
                    <w:tr2bl w:val="nil"/>
                  </w:tcBorders>
                  <w:vAlign w:val="center"/>
                </w:tcPr>
                <w:p>
                  <w:pPr>
                    <w:pStyle w:val="27"/>
                    <w:jc w:val="center"/>
                    <w:rPr>
                      <w:b/>
                      <w:bCs/>
                      <w:szCs w:val="24"/>
                    </w:rPr>
                  </w:pPr>
                  <w:r>
                    <w:rPr>
                      <w:b/>
                      <w:bCs/>
                      <w:szCs w:val="24"/>
                    </w:rPr>
                    <w:t>文件名称</w:t>
                  </w:r>
                </w:p>
              </w:tc>
              <w:tc>
                <w:tcPr>
                  <w:tcW w:w="2270" w:type="pct"/>
                  <w:tcBorders>
                    <w:tl2br w:val="nil"/>
                    <w:tr2bl w:val="nil"/>
                  </w:tcBorders>
                  <w:vAlign w:val="center"/>
                </w:tcPr>
                <w:p>
                  <w:pPr>
                    <w:pStyle w:val="27"/>
                    <w:jc w:val="center"/>
                    <w:rPr>
                      <w:b/>
                      <w:bCs/>
                      <w:szCs w:val="24"/>
                    </w:rPr>
                  </w:pPr>
                  <w:r>
                    <w:rPr>
                      <w:b/>
                      <w:bCs/>
                      <w:szCs w:val="24"/>
                    </w:rPr>
                    <w:t>文件内容</w:t>
                  </w:r>
                </w:p>
              </w:tc>
              <w:tc>
                <w:tcPr>
                  <w:tcW w:w="1514" w:type="pct"/>
                  <w:tcBorders>
                    <w:tl2br w:val="nil"/>
                    <w:tr2bl w:val="nil"/>
                  </w:tcBorders>
                  <w:vAlign w:val="center"/>
                </w:tcPr>
                <w:p>
                  <w:pPr>
                    <w:pStyle w:val="27"/>
                    <w:jc w:val="center"/>
                    <w:rPr>
                      <w:b/>
                      <w:bCs/>
                      <w:szCs w:val="24"/>
                    </w:rPr>
                  </w:pPr>
                  <w:r>
                    <w:rPr>
                      <w:b/>
                      <w:bCs/>
                      <w:szCs w:val="24"/>
                    </w:rPr>
                    <w:t>项目情况</w:t>
                  </w:r>
                </w:p>
              </w:tc>
              <w:tc>
                <w:tcPr>
                  <w:tcW w:w="427" w:type="pct"/>
                  <w:tcBorders>
                    <w:tl2br w:val="nil"/>
                    <w:tr2bl w:val="nil"/>
                  </w:tcBorders>
                  <w:vAlign w:val="center"/>
                </w:tcPr>
                <w:p>
                  <w:pPr>
                    <w:pStyle w:val="27"/>
                    <w:jc w:val="center"/>
                    <w:rPr>
                      <w:b/>
                      <w:bCs/>
                      <w:szCs w:val="24"/>
                    </w:rPr>
                  </w:pPr>
                  <w:r>
                    <w:rPr>
                      <w:b/>
                      <w:bCs/>
                      <w:szCs w:val="24"/>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9" w:type="pct"/>
                  <w:tcBorders>
                    <w:tl2br w:val="nil"/>
                    <w:tr2bl w:val="nil"/>
                  </w:tcBorders>
                  <w:vAlign w:val="center"/>
                </w:tcPr>
                <w:p>
                  <w:pPr>
                    <w:pStyle w:val="27"/>
                    <w:jc w:val="center"/>
                  </w:pPr>
                  <w:r>
                    <w:rPr>
                      <w:rFonts w:hint="eastAsia"/>
                    </w:rPr>
                    <w:t>《陕西省国家重点生态功能区产业准入负面清单(试行)》</w:t>
                  </w:r>
                </w:p>
              </w:tc>
              <w:tc>
                <w:tcPr>
                  <w:tcW w:w="2270" w:type="pct"/>
                  <w:tcBorders>
                    <w:tl2br w:val="nil"/>
                    <w:tr2bl w:val="nil"/>
                  </w:tcBorders>
                  <w:vAlign w:val="center"/>
                </w:tcPr>
                <w:p>
                  <w:pPr>
                    <w:pStyle w:val="27"/>
                    <w:jc w:val="center"/>
                  </w:pPr>
                  <w:r>
                    <w:rPr>
                      <w:rFonts w:hint="eastAsia"/>
                    </w:rPr>
                    <w:t>平利县地处秦巴生物多样性生态功能区。限制类涉</w:t>
                  </w:r>
                  <w:r>
                    <w:rPr>
                      <w:rFonts w:cs="Times New Roman"/>
                    </w:rPr>
                    <w:t>及</w:t>
                  </w:r>
                  <w:r>
                    <w:t>3</w:t>
                  </w:r>
                  <w:r>
                    <w:rPr>
                      <w:rFonts w:cs="Times New Roman"/>
                    </w:rPr>
                    <w:t>门类9大类9中类</w:t>
                  </w:r>
                  <w:r>
                    <w:rPr>
                      <w:rFonts w:hint="eastAsia" w:cs="Times New Roman"/>
                    </w:rPr>
                    <w:t>1</w:t>
                  </w:r>
                  <w:r>
                    <w:rPr>
                      <w:rFonts w:cs="Times New Roman"/>
                    </w:rPr>
                    <w:t>0小类</w:t>
                  </w:r>
                  <w:r>
                    <w:rPr>
                      <w:rFonts w:hint="eastAsia" w:cs="Times New Roman"/>
                    </w:rPr>
                    <w:t>，</w:t>
                  </w:r>
                  <w:r>
                    <w:rPr>
                      <w:rFonts w:cs="Times New Roman"/>
                    </w:rPr>
                    <w:t>禁止类涉及2门类2大类2中类</w:t>
                  </w:r>
                  <w:r>
                    <w:rPr>
                      <w:rFonts w:hint="eastAsia" w:cs="Times New Roman"/>
                    </w:rPr>
                    <w:t>2小</w:t>
                  </w:r>
                  <w:r>
                    <w:rPr>
                      <w:rFonts w:cs="Times New Roman"/>
                    </w:rPr>
                    <w:t>类</w:t>
                  </w:r>
                  <w:r>
                    <w:rPr>
                      <w:rFonts w:hint="eastAsia" w:cs="Times New Roman"/>
                    </w:rPr>
                    <w:t>。</w:t>
                  </w:r>
                </w:p>
              </w:tc>
              <w:tc>
                <w:tcPr>
                  <w:tcW w:w="1514" w:type="pct"/>
                  <w:tcBorders>
                    <w:tl2br w:val="nil"/>
                    <w:tr2bl w:val="nil"/>
                  </w:tcBorders>
                  <w:vAlign w:val="center"/>
                </w:tcPr>
                <w:p>
                  <w:pPr>
                    <w:pStyle w:val="27"/>
                    <w:jc w:val="center"/>
                  </w:pPr>
                  <w:r>
                    <w:rPr>
                      <w:rFonts w:hint="eastAsia"/>
                    </w:rPr>
                    <w:t>本项目不在平利县国家重点生态功能区产业准入负面清单内限制类及禁止类产业。</w:t>
                  </w:r>
                </w:p>
              </w:tc>
              <w:tc>
                <w:tcPr>
                  <w:tcW w:w="427" w:type="pct"/>
                  <w:tcBorders>
                    <w:tl2br w:val="nil"/>
                    <w:tr2bl w:val="nil"/>
                  </w:tcBorders>
                  <w:vAlign w:val="center"/>
                </w:tcPr>
                <w:p>
                  <w:pPr>
                    <w:pStyle w:val="27"/>
                    <w:jc w:val="center"/>
                    <w:rPr>
                      <w:sz w:val="20"/>
                    </w:rP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89" w:type="pct"/>
                  <w:vMerge w:val="restart"/>
                  <w:tcBorders>
                    <w:tl2br w:val="nil"/>
                    <w:tr2bl w:val="nil"/>
                  </w:tcBorders>
                  <w:vAlign w:val="center"/>
                </w:tcPr>
                <w:p>
                  <w:pPr>
                    <w:pStyle w:val="27"/>
                    <w:jc w:val="center"/>
                  </w:pPr>
                  <w:r>
                    <w:rPr>
                      <w:rFonts w:hint="eastAsia"/>
                    </w:rPr>
                    <w:t>陕西省蓝天碧水净土保卫战2022年工作方案</w:t>
                  </w:r>
                </w:p>
              </w:tc>
              <w:tc>
                <w:tcPr>
                  <w:tcW w:w="2270" w:type="pct"/>
                  <w:tcBorders>
                    <w:tl2br w:val="nil"/>
                    <w:tr2bl w:val="nil"/>
                  </w:tcBorders>
                  <w:vAlign w:val="center"/>
                </w:tcPr>
                <w:p>
                  <w:pPr>
                    <w:pStyle w:val="27"/>
                    <w:jc w:val="center"/>
                  </w:pPr>
                  <w:r>
                    <w:rPr>
                      <w:rFonts w:hint="eastAsia"/>
                    </w:rPr>
                    <w:t>加强物料堆场扬尘管控。加强矿石等工业企业物料堆场的围墙、喷淋、覆盖和围挡等防风抑尘设施。</w:t>
                  </w:r>
                </w:p>
              </w:tc>
              <w:tc>
                <w:tcPr>
                  <w:tcW w:w="1514" w:type="pct"/>
                  <w:tcBorders>
                    <w:tl2br w:val="nil"/>
                    <w:tr2bl w:val="nil"/>
                  </w:tcBorders>
                  <w:vAlign w:val="center"/>
                </w:tcPr>
                <w:p>
                  <w:pPr>
                    <w:pStyle w:val="27"/>
                    <w:jc w:val="center"/>
                  </w:pPr>
                  <w:r>
                    <w:rPr>
                      <w:rFonts w:hint="eastAsia"/>
                    </w:rPr>
                    <w:t>本项目物料堆场采用密闭车间，不露天；顶部安装有喷淋设施对物料进行洒水抑尘。</w:t>
                  </w:r>
                </w:p>
              </w:tc>
              <w:tc>
                <w:tcPr>
                  <w:tcW w:w="427" w:type="pc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89" w:type="pct"/>
                  <w:vMerge w:val="continue"/>
                  <w:tcBorders>
                    <w:tl2br w:val="nil"/>
                    <w:tr2bl w:val="nil"/>
                  </w:tcBorders>
                  <w:vAlign w:val="center"/>
                </w:tcPr>
                <w:p>
                  <w:pPr>
                    <w:pStyle w:val="27"/>
                    <w:jc w:val="center"/>
                  </w:pPr>
                </w:p>
              </w:tc>
              <w:tc>
                <w:tcPr>
                  <w:tcW w:w="2270" w:type="pct"/>
                  <w:tcBorders>
                    <w:tl2br w:val="nil"/>
                    <w:tr2bl w:val="nil"/>
                  </w:tcBorders>
                  <w:vAlign w:val="center"/>
                </w:tcPr>
                <w:p>
                  <w:pPr>
                    <w:pStyle w:val="27"/>
                    <w:jc w:val="center"/>
                  </w:pPr>
                  <w:r>
                    <w:rPr>
                      <w:rFonts w:hint="eastAsia"/>
                    </w:rPr>
                    <w:t>碧水保卫战：推进开展以节水为重点内容的绿色高质量转型升级和循环化改造，加快现有企业和园区开展节水及水循环利用设施建设，促进企业间串联用水、分质用水、一水多用和循环用水。</w:t>
                  </w:r>
                </w:p>
              </w:tc>
              <w:tc>
                <w:tcPr>
                  <w:tcW w:w="1514" w:type="pct"/>
                  <w:tcBorders>
                    <w:tl2br w:val="nil"/>
                    <w:tr2bl w:val="nil"/>
                  </w:tcBorders>
                  <w:vAlign w:val="center"/>
                </w:tcPr>
                <w:p>
                  <w:pPr>
                    <w:pStyle w:val="27"/>
                    <w:jc w:val="center"/>
                  </w:pPr>
                  <w:r>
                    <w:rPr>
                      <w:rFonts w:hint="eastAsia"/>
                    </w:rPr>
                    <w:t>本项目不属于高耗能行业采用先进的生产工艺与设备，生产用水量符合用水定额先进值。</w:t>
                  </w:r>
                </w:p>
              </w:tc>
              <w:tc>
                <w:tcPr>
                  <w:tcW w:w="427" w:type="pc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89" w:type="pct"/>
                  <w:vMerge w:val="restart"/>
                  <w:tcBorders>
                    <w:tl2br w:val="nil"/>
                    <w:tr2bl w:val="nil"/>
                  </w:tcBorders>
                  <w:vAlign w:val="center"/>
                </w:tcPr>
                <w:p>
                  <w:pPr>
                    <w:pStyle w:val="27"/>
                    <w:jc w:val="center"/>
                  </w:pPr>
                  <w:r>
                    <w:rPr>
                      <w:rFonts w:hint="eastAsia"/>
                    </w:rPr>
                    <w:t>《安康市“十四五”生态环境保护规划》（安政办发〔2021〕33号）</w:t>
                  </w:r>
                </w:p>
              </w:tc>
              <w:tc>
                <w:tcPr>
                  <w:tcW w:w="2270" w:type="pct"/>
                  <w:tcBorders>
                    <w:tl2br w:val="nil"/>
                    <w:tr2bl w:val="nil"/>
                  </w:tcBorders>
                  <w:vAlign w:val="center"/>
                </w:tcPr>
                <w:p>
                  <w:pPr>
                    <w:pStyle w:val="27"/>
                    <w:jc w:val="center"/>
                  </w:pPr>
                  <w:r>
                    <w:rPr>
                      <w:rFonts w:hint="eastAsia"/>
                    </w:rPr>
                    <w:t>强化扬尘污染整治工作。积极推行绿色施工，落实“洒水、覆盖、硬化、冲洗、绿化、围挡”六个100%要求，大力推进低尘机械化湿式清扫作业，渣土车实施硬覆盖和全封闭运输，强化道路绿化用地扬尘治理。整治原煤、砂石、干散货堆场，全面完成抑尘设施建设和物料输送系统封闭改造。</w:t>
                  </w:r>
                </w:p>
              </w:tc>
              <w:tc>
                <w:tcPr>
                  <w:tcW w:w="1514" w:type="pct"/>
                  <w:tcBorders>
                    <w:tl2br w:val="nil"/>
                    <w:tr2bl w:val="nil"/>
                  </w:tcBorders>
                  <w:vAlign w:val="center"/>
                </w:tcPr>
                <w:p>
                  <w:pPr>
                    <w:pStyle w:val="27"/>
                    <w:jc w:val="center"/>
                  </w:pPr>
                  <w:r>
                    <w:rPr>
                      <w:rFonts w:hint="eastAsia" w:cs="Times New Roman"/>
                      <w:szCs w:val="21"/>
                    </w:rPr>
                    <w:t>本项目施工期严格</w:t>
                  </w:r>
                  <w:r>
                    <w:rPr>
                      <w:rFonts w:cs="Times New Roman"/>
                      <w:szCs w:val="21"/>
                    </w:rPr>
                    <w:t>落实六个100%要求</w:t>
                  </w:r>
                  <w:r>
                    <w:rPr>
                      <w:rFonts w:hint="eastAsia" w:cs="Times New Roman"/>
                      <w:szCs w:val="21"/>
                    </w:rPr>
                    <w:t>，物料堆场、生产车间均采用密闭车间、喷淋等措施</w:t>
                  </w:r>
                </w:p>
              </w:tc>
              <w:tc>
                <w:tcPr>
                  <w:tcW w:w="427" w:type="pc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89" w:type="pct"/>
                  <w:vMerge w:val="continue"/>
                  <w:tcBorders>
                    <w:tl2br w:val="nil"/>
                    <w:tr2bl w:val="nil"/>
                  </w:tcBorders>
                  <w:vAlign w:val="center"/>
                </w:tcPr>
                <w:p>
                  <w:pPr>
                    <w:pStyle w:val="27"/>
                    <w:jc w:val="center"/>
                  </w:pPr>
                </w:p>
              </w:tc>
              <w:tc>
                <w:tcPr>
                  <w:tcW w:w="2270" w:type="pct"/>
                  <w:tcBorders>
                    <w:tl2br w:val="nil"/>
                    <w:tr2bl w:val="nil"/>
                  </w:tcBorders>
                  <w:vAlign w:val="center"/>
                </w:tcPr>
                <w:p>
                  <w:pPr>
                    <w:pStyle w:val="27"/>
                    <w:jc w:val="center"/>
                  </w:pPr>
                  <w:r>
                    <w:rPr>
                      <w:rFonts w:hint="eastAsia"/>
                    </w:rPr>
                    <w:t>推进汉江流域共抓大保护。加强南水北调中线水资源保护、水污染防治和水生态环境保护，确保“一泓清水永续北上”。统筹流域河湖协同治理，加强治污治岸，强化综合治理、系统治理、源头治理。</w:t>
                  </w:r>
                </w:p>
              </w:tc>
              <w:tc>
                <w:tcPr>
                  <w:tcW w:w="1514" w:type="pct"/>
                  <w:tcBorders>
                    <w:tl2br w:val="nil"/>
                    <w:tr2bl w:val="nil"/>
                  </w:tcBorders>
                  <w:vAlign w:val="center"/>
                </w:tcPr>
                <w:p>
                  <w:pPr>
                    <w:pStyle w:val="27"/>
                    <w:jc w:val="center"/>
                    <w:rPr>
                      <w:rFonts w:cs="Times New Roman"/>
                      <w:szCs w:val="21"/>
                    </w:rPr>
                  </w:pPr>
                  <w:r>
                    <w:rPr>
                      <w:rFonts w:hint="eastAsia" w:cs="Times New Roman"/>
                      <w:szCs w:val="21"/>
                    </w:rPr>
                    <w:t>本项目生活污水经化粪池处理后定期清掏不外排；洗车废水经沉淀处理后回用，不外排。</w:t>
                  </w:r>
                </w:p>
              </w:tc>
              <w:tc>
                <w:tcPr>
                  <w:tcW w:w="427" w:type="pc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89" w:type="pct"/>
                  <w:tcBorders>
                    <w:tl2br w:val="nil"/>
                    <w:tr2bl w:val="nil"/>
                  </w:tcBorders>
                  <w:vAlign w:val="center"/>
                </w:tcPr>
                <w:p>
                  <w:pPr>
                    <w:pStyle w:val="27"/>
                    <w:jc w:val="center"/>
                  </w:pPr>
                  <w:r>
                    <w:rPr>
                      <w:rFonts w:hint="eastAsia"/>
                    </w:rPr>
                    <w:t>安康市国民经济和社会发展第十四个五年规划</w:t>
                  </w:r>
                </w:p>
                <w:p>
                  <w:pPr>
                    <w:pStyle w:val="27"/>
                    <w:jc w:val="center"/>
                  </w:pPr>
                  <w:r>
                    <w:rPr>
                      <w:rFonts w:hint="eastAsia"/>
                    </w:rPr>
                    <w:t>和二〇三五年远景目标纲要</w:t>
                  </w:r>
                </w:p>
              </w:tc>
              <w:tc>
                <w:tcPr>
                  <w:tcW w:w="2270" w:type="pct"/>
                  <w:tcBorders>
                    <w:tl2br w:val="nil"/>
                    <w:tr2bl w:val="nil"/>
                  </w:tcBorders>
                  <w:vAlign w:val="center"/>
                </w:tcPr>
                <w:p>
                  <w:pPr>
                    <w:pStyle w:val="27"/>
                    <w:jc w:val="center"/>
                  </w:pPr>
                  <w:r>
                    <w:rPr>
                      <w:rFonts w:hint="eastAsia"/>
                      <w:b/>
                      <w:bCs/>
                    </w:rPr>
                    <w:t>三、做大新型材料产业。</w:t>
                  </w:r>
                  <w:r>
                    <w:rPr>
                      <w:rFonts w:hint="eastAsia"/>
                    </w:rPr>
                    <w:t>坚持生态保护和资源开发并重，围绕以钒、锌合金为代表的有色金属材料，以新型液流储能介质、钒锂电池电极材料为代表的新能源储能材料，以重晶石、陶瓷等为代表的无机非金属材料，以纳米微粒子功能材料、聚酯功能分离材料、高分子复合材料为代表的前沿新材料，以新型墙体材料、装配式建筑材料、石棉板岩为代表的新型建筑材料。</w:t>
                  </w:r>
                </w:p>
              </w:tc>
              <w:tc>
                <w:tcPr>
                  <w:tcW w:w="1514" w:type="pct"/>
                  <w:tcBorders>
                    <w:tl2br w:val="nil"/>
                    <w:tr2bl w:val="nil"/>
                  </w:tcBorders>
                  <w:vAlign w:val="center"/>
                </w:tcPr>
                <w:p>
                  <w:pPr>
                    <w:pStyle w:val="27"/>
                    <w:jc w:val="center"/>
                  </w:pPr>
                  <w:r>
                    <w:rPr>
                      <w:rFonts w:hint="eastAsia"/>
                    </w:rPr>
                    <w:t>本项目属于重晶石等非金属制品加工生产项目，属于新型材料产业发展重点项目。</w:t>
                  </w:r>
                </w:p>
              </w:tc>
              <w:tc>
                <w:tcPr>
                  <w:tcW w:w="427" w:type="pc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89" w:type="pct"/>
                  <w:tcBorders>
                    <w:tl2br w:val="nil"/>
                    <w:tr2bl w:val="nil"/>
                  </w:tcBorders>
                  <w:vAlign w:val="center"/>
                </w:tcPr>
                <w:p>
                  <w:pPr>
                    <w:pStyle w:val="27"/>
                    <w:jc w:val="center"/>
                  </w:pPr>
                  <w:r>
                    <w:rPr>
                      <w:rFonts w:hint="eastAsia"/>
                    </w:rPr>
                    <w:t>安康市蓝天保卫战2022年工作实施方案</w:t>
                  </w:r>
                </w:p>
              </w:tc>
              <w:tc>
                <w:tcPr>
                  <w:tcW w:w="2270" w:type="pct"/>
                  <w:tcBorders>
                    <w:tl2br w:val="nil"/>
                    <w:tr2bl w:val="nil"/>
                  </w:tcBorders>
                  <w:vAlign w:val="center"/>
                </w:tcPr>
                <w:p>
                  <w:pPr>
                    <w:pStyle w:val="27"/>
                    <w:jc w:val="center"/>
                    <w:rPr>
                      <w:b/>
                      <w:bCs/>
                    </w:rPr>
                  </w:pPr>
                  <w:r>
                    <w:rPr>
                      <w:rFonts w:hint="eastAsia"/>
                      <w:b/>
                      <w:bCs/>
                    </w:rPr>
                    <w:t>加强物料堆场扬尘管控。</w:t>
                  </w:r>
                  <w:r>
                    <w:rPr>
                      <w:rFonts w:hint="eastAsia"/>
                    </w:rPr>
                    <w:t>针对石灰、砖瓦、水泥等行业企业，严格控制物料储存、输送及生产过程无组织排放，粉粒类物料堆放场以及大型煤炭和矿石物料堆场，完成抑尘设施建设和物料输送系统封闭改造。</w:t>
                  </w:r>
                </w:p>
              </w:tc>
              <w:tc>
                <w:tcPr>
                  <w:tcW w:w="1514" w:type="pct"/>
                  <w:tcBorders>
                    <w:tl2br w:val="nil"/>
                    <w:tr2bl w:val="nil"/>
                  </w:tcBorders>
                  <w:vAlign w:val="center"/>
                </w:tcPr>
                <w:p>
                  <w:pPr>
                    <w:pStyle w:val="27"/>
                    <w:jc w:val="center"/>
                  </w:pPr>
                  <w:r>
                    <w:rPr>
                      <w:rFonts w:hint="eastAsia"/>
                    </w:rPr>
                    <w:t>本项目物料堆场采用密闭车间，不露天；顶部安装有喷淋设施对物料进行洒水抑尘。</w:t>
                  </w:r>
                </w:p>
              </w:tc>
              <w:tc>
                <w:tcPr>
                  <w:tcW w:w="427" w:type="pct"/>
                  <w:tcBorders>
                    <w:tl2br w:val="nil"/>
                    <w:tr2bl w:val="nil"/>
                  </w:tcBorders>
                  <w:vAlign w:val="center"/>
                </w:tcPr>
                <w:p>
                  <w:pPr>
                    <w:pStyle w:val="27"/>
                    <w:jc w:val="cente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89" w:type="pct"/>
                  <w:tcBorders>
                    <w:tl2br w:val="nil"/>
                    <w:tr2bl w:val="nil"/>
                  </w:tcBorders>
                  <w:vAlign w:val="center"/>
                </w:tcPr>
                <w:p>
                  <w:pPr>
                    <w:pStyle w:val="27"/>
                    <w:jc w:val="center"/>
                  </w:pPr>
                  <w:r>
                    <w:rPr>
                      <w:rFonts w:hint="eastAsia"/>
                    </w:rPr>
                    <w:t>安康市水污染防治工作方案</w:t>
                  </w:r>
                </w:p>
              </w:tc>
              <w:tc>
                <w:tcPr>
                  <w:tcW w:w="2270" w:type="pct"/>
                  <w:tcBorders>
                    <w:tl2br w:val="nil"/>
                    <w:tr2bl w:val="nil"/>
                  </w:tcBorders>
                  <w:vAlign w:val="center"/>
                </w:tcPr>
                <w:p>
                  <w:pPr>
                    <w:pStyle w:val="27"/>
                    <w:jc w:val="center"/>
                  </w:pPr>
                  <w:r>
                    <w:rPr>
                      <w:rFonts w:hint="eastAsia"/>
                    </w:rPr>
                    <w:t>加强工业水循环利用。Ⅱ类以上水功能区内工矿企业的生产废水、清净下水等要综合利用，禁止排放。</w:t>
                  </w:r>
                </w:p>
              </w:tc>
              <w:tc>
                <w:tcPr>
                  <w:tcW w:w="1514" w:type="pct"/>
                  <w:tcBorders>
                    <w:tl2br w:val="nil"/>
                    <w:tr2bl w:val="nil"/>
                  </w:tcBorders>
                  <w:vAlign w:val="center"/>
                </w:tcPr>
                <w:p>
                  <w:pPr>
                    <w:pStyle w:val="27"/>
                    <w:jc w:val="center"/>
                  </w:pPr>
                  <w:r>
                    <w:rPr>
                      <w:rFonts w:hint="eastAsia"/>
                    </w:rPr>
                    <w:t>本项目生活污水经化粪池处理后定期清掏不外排；洗车废水经沉淀处理后回用，不外排。</w:t>
                  </w:r>
                </w:p>
              </w:tc>
              <w:tc>
                <w:tcPr>
                  <w:tcW w:w="427" w:type="pct"/>
                  <w:tcBorders>
                    <w:tl2br w:val="nil"/>
                    <w:tr2bl w:val="nil"/>
                  </w:tcBorders>
                  <w:vAlign w:val="center"/>
                </w:tcPr>
                <w:p>
                  <w:pPr>
                    <w:pStyle w:val="27"/>
                    <w:jc w:val="center"/>
                  </w:pPr>
                  <w:r>
                    <w:rPr>
                      <w:rFonts w:hint="eastAsia"/>
                    </w:rPr>
                    <w:t>符合</w:t>
                  </w:r>
                </w:p>
              </w:tc>
            </w:tr>
          </w:tbl>
          <w:p>
            <w:pPr>
              <w:pStyle w:val="27"/>
            </w:pPr>
          </w:p>
        </w:tc>
      </w:tr>
    </w:tbl>
    <w:p>
      <w:pPr>
        <w:pStyle w:val="16"/>
        <w:spacing w:before="0" w:beforeAutospacing="0" w:after="0" w:afterAutospacing="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w:t>
      </w:r>
      <w:r>
        <w:rPr>
          <w:rFonts w:hint="eastAsia" w:ascii="Times New Roman" w:hAnsi="Times New Roman" w:eastAsia="黑体"/>
          <w:snapToGrid w:val="0"/>
          <w:sz w:val="30"/>
          <w:szCs w:val="30"/>
        </w:rPr>
        <w:t>建设项目工程分析</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9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16"/>
              <w:adjustRightInd w:val="0"/>
              <w:snapToGrid w:val="0"/>
              <w:spacing w:before="0" w:beforeAutospacing="0" w:after="0" w:afterAutospacing="0"/>
              <w:jc w:val="center"/>
              <w:rPr>
                <w:rFonts w:cs="宋体"/>
                <w:b/>
                <w:bCs/>
                <w:szCs w:val="21"/>
              </w:rPr>
            </w:pPr>
            <w:r>
              <w:rPr>
                <w:rFonts w:hint="eastAsia" w:ascii="Times New Roman" w:hAnsi="Times New Roman" w:eastAsiaTheme="minorEastAsia" w:cstheme="minorBidi"/>
                <w:b/>
                <w:bCs/>
                <w:kern w:val="2"/>
                <w:szCs w:val="22"/>
              </w:rPr>
              <w:t>建设内容</w:t>
            </w:r>
          </w:p>
        </w:tc>
        <w:tc>
          <w:tcPr>
            <w:tcW w:w="7847" w:type="dxa"/>
          </w:tcPr>
          <w:p>
            <w:pPr>
              <w:pStyle w:val="2"/>
              <w:rPr>
                <w:rFonts w:ascii="Times New Roman" w:hAnsi="Times New Roman" w:eastAsia="宋体"/>
                <w:szCs w:val="21"/>
              </w:rPr>
            </w:pPr>
            <w:r>
              <w:rPr>
                <w:rFonts w:hint="eastAsia" w:ascii="Times New Roman" w:hAnsi="Times New Roman" w:eastAsia="宋体"/>
                <w:szCs w:val="21"/>
              </w:rPr>
              <w:t>（一）项目由来</w:t>
            </w:r>
          </w:p>
          <w:p>
            <w:pPr>
              <w:ind w:firstLine="480" w:firstLineChars="200"/>
            </w:pPr>
            <w:r>
              <w:rPr>
                <w:rFonts w:hint="eastAsia"/>
              </w:rPr>
              <w:t>依据《中华人民共和国环境保护法》、《中华人民共和国环境影响评价法》及《建设项目环境影响评价分类管理名录》（2</w:t>
            </w:r>
            <w:r>
              <w:t>021</w:t>
            </w:r>
            <w:r>
              <w:rPr>
                <w:rFonts w:hint="eastAsia"/>
              </w:rPr>
              <w:t xml:space="preserve">年版）等规定，本项目涉及的主要行业为“二十七、非金属矿物制品 </w:t>
            </w:r>
            <w:r>
              <w:t xml:space="preserve">60 </w:t>
            </w:r>
            <w:r>
              <w:rPr>
                <w:rFonts w:hint="eastAsia"/>
              </w:rPr>
              <w:t xml:space="preserve">石墨及其他非金属矿物制品制造 </w:t>
            </w:r>
            <w:r>
              <w:t xml:space="preserve">309 </w:t>
            </w:r>
            <w:r>
              <w:rPr>
                <w:rFonts w:hint="eastAsia"/>
              </w:rPr>
              <w:t xml:space="preserve">其他”，“二十七、非金属矿物制品 </w:t>
            </w:r>
            <w:r>
              <w:t xml:space="preserve">55 </w:t>
            </w:r>
            <w:r>
              <w:rPr>
                <w:rFonts w:hint="eastAsia"/>
              </w:rPr>
              <w:t>石膏、水泥制品及类似制品制造 302</w:t>
            </w:r>
            <w:r>
              <w:t xml:space="preserve"> </w:t>
            </w:r>
            <w:r>
              <w:rPr>
                <w:rFonts w:hint="eastAsia"/>
              </w:rPr>
              <w:t>水泥制品制造”，应当按此类别编制建设项目环境影响报告表。我单位接受委托后立即组织相关技术人员进行现场踏勘、资料收集。并依据《建设项目环境影响报告表编制技术指南（污染影响类）（试行）》及相关法规及标准规范，编制完成了本项目环境影响报告表。</w:t>
            </w:r>
          </w:p>
          <w:p>
            <w:pPr>
              <w:pStyle w:val="2"/>
              <w:rPr>
                <w:rFonts w:ascii="Times New Roman" w:hAnsi="Times New Roman" w:eastAsia="宋体"/>
                <w:szCs w:val="21"/>
              </w:rPr>
            </w:pPr>
            <w:r>
              <w:rPr>
                <w:rFonts w:hint="eastAsia" w:ascii="Times New Roman" w:hAnsi="Times New Roman" w:eastAsia="宋体"/>
                <w:szCs w:val="21"/>
              </w:rPr>
              <w:t>（二）项目组成</w:t>
            </w:r>
            <w:r>
              <w:rPr>
                <w:rFonts w:ascii="Times New Roman" w:hAnsi="Times New Roman" w:eastAsia="宋体"/>
                <w:szCs w:val="21"/>
              </w:rPr>
              <w:t>与建设内容</w:t>
            </w:r>
          </w:p>
          <w:p>
            <w:pPr>
              <w:adjustRightInd w:val="0"/>
              <w:ind w:firstLine="480" w:firstLineChars="200"/>
              <w:rPr>
                <w:szCs w:val="21"/>
              </w:rPr>
            </w:pPr>
            <w:r>
              <w:rPr>
                <w:rFonts w:hint="eastAsia"/>
                <w:szCs w:val="21"/>
              </w:rPr>
              <w:t>（1）项目概况</w:t>
            </w:r>
          </w:p>
          <w:p>
            <w:pPr>
              <w:adjustRightInd w:val="0"/>
              <w:ind w:firstLine="480" w:firstLineChars="200"/>
              <w:rPr>
                <w:szCs w:val="21"/>
              </w:rPr>
            </w:pPr>
            <w:r>
              <w:rPr>
                <w:rFonts w:hint="eastAsia"/>
                <w:szCs w:val="21"/>
              </w:rPr>
              <w:t>项目名称：年产20万吨重晶石粉加工、10万吨石英石加工项目</w:t>
            </w:r>
          </w:p>
          <w:p>
            <w:pPr>
              <w:adjustRightInd w:val="0"/>
              <w:ind w:firstLine="480" w:firstLineChars="200"/>
              <w:rPr>
                <w:szCs w:val="21"/>
              </w:rPr>
            </w:pPr>
            <w:r>
              <w:rPr>
                <w:rFonts w:hint="eastAsia"/>
                <w:szCs w:val="21"/>
              </w:rPr>
              <w:t>建设单位：平利县康恒石油科技有限公司</w:t>
            </w:r>
          </w:p>
          <w:p>
            <w:pPr>
              <w:adjustRightInd w:val="0"/>
              <w:ind w:firstLine="480" w:firstLineChars="200"/>
              <w:rPr>
                <w:szCs w:val="21"/>
              </w:rPr>
            </w:pPr>
            <w:r>
              <w:rPr>
                <w:rFonts w:hint="eastAsia"/>
                <w:szCs w:val="21"/>
              </w:rPr>
              <w:t>建设地点：陕西省安康市平利县洛河镇莲花台村</w:t>
            </w:r>
          </w:p>
          <w:p>
            <w:pPr>
              <w:adjustRightInd w:val="0"/>
              <w:ind w:firstLine="480" w:firstLineChars="200"/>
              <w:rPr>
                <w:szCs w:val="21"/>
              </w:rPr>
            </w:pPr>
            <w:r>
              <w:rPr>
                <w:rFonts w:hint="eastAsia"/>
                <w:szCs w:val="21"/>
              </w:rPr>
              <w:t>建设性质：新建</w:t>
            </w:r>
          </w:p>
          <w:p>
            <w:pPr>
              <w:adjustRightInd w:val="0"/>
              <w:ind w:firstLine="480" w:firstLineChars="200"/>
              <w:rPr>
                <w:szCs w:val="21"/>
              </w:rPr>
            </w:pPr>
            <w:r>
              <w:rPr>
                <w:rFonts w:hint="eastAsia"/>
                <w:szCs w:val="21"/>
              </w:rPr>
              <w:t>项目总投资：</w:t>
            </w:r>
            <w:r>
              <w:rPr>
                <w:szCs w:val="21"/>
              </w:rPr>
              <w:t>20</w:t>
            </w:r>
            <w:r>
              <w:rPr>
                <w:rFonts w:hint="eastAsia"/>
                <w:szCs w:val="21"/>
              </w:rPr>
              <w:t>00万元</w:t>
            </w:r>
          </w:p>
          <w:p>
            <w:pPr>
              <w:adjustRightInd w:val="0"/>
              <w:ind w:firstLine="480" w:firstLineChars="200"/>
              <w:rPr>
                <w:szCs w:val="21"/>
              </w:rPr>
            </w:pPr>
            <w:r>
              <w:rPr>
                <w:rFonts w:hint="eastAsia"/>
                <w:szCs w:val="21"/>
              </w:rPr>
              <w:t>建设内容：新建的标准化加工车间约为4</w:t>
            </w:r>
            <w:r>
              <w:rPr>
                <w:szCs w:val="21"/>
              </w:rPr>
              <w:t>600</w:t>
            </w:r>
            <w:r>
              <w:rPr>
                <w:rFonts w:hint="eastAsia"/>
                <w:szCs w:val="21"/>
              </w:rPr>
              <w:t>m</w:t>
            </w:r>
            <w:r>
              <w:rPr>
                <w:szCs w:val="21"/>
                <w:vertAlign w:val="superscript"/>
              </w:rPr>
              <w:t>2</w:t>
            </w:r>
            <w:r>
              <w:rPr>
                <w:rFonts w:hint="eastAsia"/>
                <w:szCs w:val="21"/>
              </w:rPr>
              <w:t>，矿石堆场9</w:t>
            </w:r>
            <w:r>
              <w:rPr>
                <w:szCs w:val="21"/>
              </w:rPr>
              <w:t>000m</w:t>
            </w:r>
            <w:r>
              <w:rPr>
                <w:szCs w:val="21"/>
                <w:vertAlign w:val="superscript"/>
              </w:rPr>
              <w:t>2</w:t>
            </w:r>
            <w:r>
              <w:rPr>
                <w:rFonts w:hint="eastAsia"/>
                <w:szCs w:val="21"/>
              </w:rPr>
              <w:t>，车间内安装筛分机2台、皮带输送机4条、鄂破机2台、磨粉机4台，化学助剂活化粉机1台、装载机、叉车及化验室等设施设备；新建办公、生活配套房设施1</w:t>
            </w:r>
            <w:r>
              <w:rPr>
                <w:szCs w:val="21"/>
              </w:rPr>
              <w:t>100m</w:t>
            </w:r>
            <w:r>
              <w:rPr>
                <w:szCs w:val="21"/>
                <w:vertAlign w:val="superscript"/>
              </w:rPr>
              <w:t>2</w:t>
            </w:r>
            <w:r>
              <w:rPr>
                <w:rFonts w:hint="eastAsia"/>
                <w:szCs w:val="21"/>
              </w:rPr>
              <w:t>，新修道路2</w:t>
            </w:r>
            <w:r>
              <w:rPr>
                <w:szCs w:val="21"/>
              </w:rPr>
              <w:t>00m</w:t>
            </w:r>
            <w:r>
              <w:rPr>
                <w:rFonts w:hint="eastAsia"/>
                <w:szCs w:val="21"/>
              </w:rPr>
              <w:t>。</w:t>
            </w:r>
          </w:p>
          <w:p>
            <w:pPr>
              <w:adjustRightInd w:val="0"/>
              <w:ind w:firstLine="480" w:firstLineChars="200"/>
              <w:rPr>
                <w:szCs w:val="21"/>
              </w:rPr>
            </w:pPr>
            <w:r>
              <w:rPr>
                <w:rFonts w:hint="eastAsia"/>
                <w:szCs w:val="21"/>
              </w:rPr>
              <w:t>本项目主要是由主体工程、辅助工程、储运工程、公用工程及环保工程组成，项目主要工程建设内容见表2</w:t>
            </w:r>
            <w:r>
              <w:rPr>
                <w:szCs w:val="21"/>
              </w:rPr>
              <w:t>-1</w:t>
            </w:r>
            <w:r>
              <w:rPr>
                <w:rFonts w:hint="eastAsia"/>
                <w:szCs w:val="21"/>
              </w:rPr>
              <w:t>：</w:t>
            </w:r>
          </w:p>
          <w:p>
            <w:pPr>
              <w:pStyle w:val="60"/>
              <w:widowControl/>
              <w:snapToGrid w:val="0"/>
              <w:jc w:val="center"/>
              <w:rPr>
                <w:rFonts w:ascii="Times New Roman"/>
                <w:b/>
                <w:bCs/>
                <w:sz w:val="21"/>
                <w:szCs w:val="21"/>
              </w:rPr>
            </w:pPr>
            <w:r>
              <w:rPr>
                <w:rFonts w:ascii="Times New Roman"/>
                <w:b/>
                <w:bCs/>
                <w:sz w:val="21"/>
                <w:szCs w:val="21"/>
              </w:rPr>
              <w:t>表2</w:t>
            </w:r>
            <w:r>
              <w:rPr>
                <w:rFonts w:hint="eastAsia" w:ascii="Times New Roman"/>
                <w:b/>
                <w:bCs/>
                <w:sz w:val="21"/>
                <w:szCs w:val="21"/>
              </w:rPr>
              <w:t>-1</w:t>
            </w:r>
            <w:r>
              <w:rPr>
                <w:rFonts w:ascii="Times New Roman"/>
                <w:b/>
                <w:bCs/>
                <w:sz w:val="21"/>
                <w:szCs w:val="21"/>
              </w:rPr>
              <w:t xml:space="preserve"> 项目建设内容组成一览表</w:t>
            </w:r>
          </w:p>
          <w:tbl>
            <w:tblPr>
              <w:tblStyle w:val="20"/>
              <w:tblW w:w="4994"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442"/>
              <w:gridCol w:w="1552"/>
              <w:gridCol w:w="4376"/>
              <w:gridCol w:w="65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55" w:type="pct"/>
                  <w:gridSpan w:val="3"/>
                  <w:tcBorders>
                    <w:tl2br w:val="nil"/>
                    <w:tr2bl w:val="nil"/>
                  </w:tcBorders>
                  <w:vAlign w:val="center"/>
                </w:tcPr>
                <w:p>
                  <w:pPr>
                    <w:pStyle w:val="27"/>
                    <w:jc w:val="center"/>
                  </w:pPr>
                  <w:r>
                    <w:t>项目组成</w:t>
                  </w:r>
                </w:p>
              </w:tc>
              <w:tc>
                <w:tcPr>
                  <w:tcW w:w="2823" w:type="pct"/>
                  <w:tcBorders>
                    <w:tl2br w:val="nil"/>
                    <w:tr2bl w:val="nil"/>
                  </w:tcBorders>
                  <w:vAlign w:val="center"/>
                </w:tcPr>
                <w:p>
                  <w:pPr>
                    <w:pStyle w:val="27"/>
                    <w:jc w:val="center"/>
                  </w:pPr>
                  <w:r>
                    <w:rPr>
                      <w:rFonts w:hint="eastAsia"/>
                    </w:rPr>
                    <w:t>工程</w:t>
                  </w:r>
                  <w:r>
                    <w:t>内容</w:t>
                  </w:r>
                </w:p>
              </w:tc>
              <w:tc>
                <w:tcPr>
                  <w:tcW w:w="420" w:type="pct"/>
                  <w:tcBorders>
                    <w:tl2br w:val="nil"/>
                    <w:tr2bl w:val="nil"/>
                  </w:tcBorders>
                  <w:vAlign w:val="center"/>
                </w:tcPr>
                <w:p>
                  <w:pPr>
                    <w:pStyle w:val="27"/>
                    <w:jc w:val="center"/>
                  </w:pPr>
                  <w:r>
                    <w:t>备注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tcBorders>
                    <w:tl2br w:val="nil"/>
                    <w:tr2bl w:val="nil"/>
                  </w:tcBorders>
                  <w:vAlign w:val="center"/>
                </w:tcPr>
                <w:p>
                  <w:pPr>
                    <w:pStyle w:val="27"/>
                    <w:jc w:val="center"/>
                  </w:pPr>
                  <w:r>
                    <w:rPr>
                      <w:rFonts w:hint="eastAsia"/>
                    </w:rPr>
                    <w:t>主体工程</w:t>
                  </w:r>
                </w:p>
              </w:tc>
              <w:tc>
                <w:tcPr>
                  <w:tcW w:w="1286" w:type="pct"/>
                  <w:gridSpan w:val="2"/>
                  <w:tcBorders>
                    <w:tl2br w:val="nil"/>
                    <w:tr2bl w:val="nil"/>
                  </w:tcBorders>
                  <w:vAlign w:val="center"/>
                </w:tcPr>
                <w:p>
                  <w:pPr>
                    <w:pStyle w:val="27"/>
                    <w:jc w:val="center"/>
                  </w:pPr>
                  <w:r>
                    <w:rPr>
                      <w:rFonts w:hint="eastAsia"/>
                    </w:rPr>
                    <w:t>标准化加工生产车间</w:t>
                  </w:r>
                </w:p>
              </w:tc>
              <w:tc>
                <w:tcPr>
                  <w:tcW w:w="2823" w:type="pct"/>
                  <w:tcBorders>
                    <w:tl2br w:val="nil"/>
                    <w:tr2bl w:val="nil"/>
                  </w:tcBorders>
                  <w:vAlign w:val="center"/>
                </w:tcPr>
                <w:p>
                  <w:pPr>
                    <w:pStyle w:val="27"/>
                    <w:jc w:val="center"/>
                  </w:pPr>
                  <w:r>
                    <w:rPr>
                      <w:rFonts w:hint="eastAsia"/>
                    </w:rPr>
                    <w:t>生产厂房建筑面积约4600m</w:t>
                  </w:r>
                  <w:r>
                    <w:rPr>
                      <w:rFonts w:hint="eastAsia"/>
                      <w:vertAlign w:val="superscript"/>
                    </w:rPr>
                    <w:t>2</w:t>
                  </w:r>
                  <w:r>
                    <w:rPr>
                      <w:rFonts w:hint="eastAsia"/>
                    </w:rPr>
                    <w:t>，内部建设重晶石矿加工生产线1条，建设石英石矿加工生产线1条。</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restart"/>
                  <w:tcBorders>
                    <w:tl2br w:val="nil"/>
                    <w:tr2bl w:val="nil"/>
                  </w:tcBorders>
                  <w:vAlign w:val="center"/>
                </w:tcPr>
                <w:p>
                  <w:pPr>
                    <w:pStyle w:val="27"/>
                    <w:jc w:val="center"/>
                  </w:pPr>
                  <w:r>
                    <w:rPr>
                      <w:rFonts w:hint="eastAsia"/>
                    </w:rPr>
                    <w:t>辅助工程</w:t>
                  </w:r>
                </w:p>
              </w:tc>
              <w:tc>
                <w:tcPr>
                  <w:tcW w:w="1286" w:type="pct"/>
                  <w:gridSpan w:val="2"/>
                  <w:tcBorders>
                    <w:tl2br w:val="nil"/>
                    <w:tr2bl w:val="nil"/>
                  </w:tcBorders>
                  <w:vAlign w:val="center"/>
                </w:tcPr>
                <w:p>
                  <w:pPr>
                    <w:pStyle w:val="27"/>
                    <w:jc w:val="center"/>
                  </w:pPr>
                  <w:r>
                    <w:rPr>
                      <w:rFonts w:hint="eastAsia"/>
                    </w:rPr>
                    <w:t>办公生活区</w:t>
                  </w:r>
                </w:p>
              </w:tc>
              <w:tc>
                <w:tcPr>
                  <w:tcW w:w="2823" w:type="pct"/>
                  <w:tcBorders>
                    <w:tl2br w:val="nil"/>
                    <w:tr2bl w:val="nil"/>
                  </w:tcBorders>
                  <w:vAlign w:val="center"/>
                </w:tcPr>
                <w:p>
                  <w:pPr>
                    <w:pStyle w:val="27"/>
                    <w:jc w:val="center"/>
                  </w:pPr>
                  <w:r>
                    <w:rPr>
                      <w:rFonts w:hint="eastAsia"/>
                    </w:rPr>
                    <w:t>办公区1000m</w:t>
                  </w:r>
                  <w:r>
                    <w:rPr>
                      <w:rFonts w:hint="eastAsia"/>
                      <w:vertAlign w:val="superscript"/>
                    </w:rPr>
                    <w:t>2</w:t>
                  </w:r>
                  <w:r>
                    <w:rPr>
                      <w:rFonts w:hint="eastAsia"/>
                    </w:rPr>
                    <w:t>，生活区300m</w:t>
                  </w:r>
                  <w:r>
                    <w:rPr>
                      <w:rFonts w:hint="eastAsia"/>
                      <w:vertAlign w:val="superscript"/>
                    </w:rPr>
                    <w:t>2</w:t>
                  </w:r>
                  <w:r>
                    <w:rPr>
                      <w:rFonts w:hint="eastAsia"/>
                    </w:rPr>
                    <w:t>，化验室100m</w:t>
                  </w:r>
                  <w:r>
                    <w:rPr>
                      <w:rFonts w:hint="eastAsia"/>
                      <w:vertAlign w:val="superscript"/>
                    </w:rPr>
                    <w:t>2</w:t>
                  </w:r>
                  <w:r>
                    <w:rPr>
                      <w:rFonts w:hint="eastAsia"/>
                    </w:rPr>
                    <w:t>，位于项目用地北侧。</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1286" w:type="pct"/>
                  <w:gridSpan w:val="2"/>
                  <w:tcBorders>
                    <w:tl2br w:val="nil"/>
                    <w:tr2bl w:val="nil"/>
                  </w:tcBorders>
                  <w:vAlign w:val="center"/>
                </w:tcPr>
                <w:p>
                  <w:pPr>
                    <w:pStyle w:val="27"/>
                    <w:jc w:val="center"/>
                  </w:pPr>
                  <w:r>
                    <w:rPr>
                      <w:rFonts w:hint="eastAsia"/>
                    </w:rPr>
                    <w:t>配电室</w:t>
                  </w:r>
                </w:p>
              </w:tc>
              <w:tc>
                <w:tcPr>
                  <w:tcW w:w="2823" w:type="pct"/>
                  <w:tcBorders>
                    <w:tl2br w:val="nil"/>
                    <w:tr2bl w:val="nil"/>
                  </w:tcBorders>
                  <w:vAlign w:val="center"/>
                </w:tcPr>
                <w:p>
                  <w:pPr>
                    <w:pStyle w:val="27"/>
                    <w:jc w:val="center"/>
                  </w:pPr>
                  <w:r>
                    <w:rPr>
                      <w:rFonts w:hint="eastAsia"/>
                    </w:rPr>
                    <w:t>砖混结构，建筑面积10m</w:t>
                  </w:r>
                  <w:r>
                    <w:rPr>
                      <w:rFonts w:hint="eastAsia"/>
                      <w:vertAlign w:val="superscript"/>
                    </w:rPr>
                    <w:t>2</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469" w:type="pct"/>
                  <w:vMerge w:val="continue"/>
                  <w:tcBorders>
                    <w:tl2br w:val="nil"/>
                    <w:tr2bl w:val="nil"/>
                  </w:tcBorders>
                  <w:vAlign w:val="center"/>
                </w:tcPr>
                <w:p>
                  <w:pPr>
                    <w:pStyle w:val="27"/>
                    <w:jc w:val="center"/>
                  </w:pPr>
                </w:p>
              </w:tc>
              <w:tc>
                <w:tcPr>
                  <w:tcW w:w="1286" w:type="pct"/>
                  <w:gridSpan w:val="2"/>
                  <w:tcBorders>
                    <w:tl2br w:val="nil"/>
                    <w:tr2bl w:val="nil"/>
                  </w:tcBorders>
                  <w:vAlign w:val="center"/>
                </w:tcPr>
                <w:p>
                  <w:pPr>
                    <w:pStyle w:val="27"/>
                    <w:jc w:val="center"/>
                  </w:pPr>
                  <w:r>
                    <w:rPr>
                      <w:rFonts w:hint="eastAsia"/>
                    </w:rPr>
                    <w:t>磅房</w:t>
                  </w:r>
                </w:p>
              </w:tc>
              <w:tc>
                <w:tcPr>
                  <w:tcW w:w="2823" w:type="pct"/>
                  <w:tcBorders>
                    <w:tl2br w:val="nil"/>
                    <w:tr2bl w:val="nil"/>
                  </w:tcBorders>
                  <w:vAlign w:val="center"/>
                </w:tcPr>
                <w:p>
                  <w:pPr>
                    <w:pStyle w:val="27"/>
                    <w:jc w:val="center"/>
                  </w:pPr>
                  <w:r>
                    <w:rPr>
                      <w:rFonts w:hint="eastAsia"/>
                    </w:rPr>
                    <w:t>地磅1个，砖混结构，建筑面积20m</w:t>
                  </w:r>
                  <w:r>
                    <w:rPr>
                      <w:rFonts w:hint="eastAsia"/>
                      <w:vertAlign w:val="superscript"/>
                    </w:rPr>
                    <w:t>2</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restart"/>
                  <w:tcBorders>
                    <w:tl2br w:val="nil"/>
                    <w:tr2bl w:val="nil"/>
                  </w:tcBorders>
                  <w:vAlign w:val="center"/>
                </w:tcPr>
                <w:p>
                  <w:pPr>
                    <w:pStyle w:val="27"/>
                    <w:jc w:val="center"/>
                  </w:pPr>
                  <w:r>
                    <w:rPr>
                      <w:rFonts w:hint="eastAsia"/>
                    </w:rPr>
                    <w:t>储运工程</w:t>
                  </w:r>
                </w:p>
              </w:tc>
              <w:tc>
                <w:tcPr>
                  <w:tcW w:w="1286" w:type="pct"/>
                  <w:gridSpan w:val="2"/>
                  <w:tcBorders>
                    <w:tl2br w:val="nil"/>
                    <w:tr2bl w:val="nil"/>
                  </w:tcBorders>
                  <w:vAlign w:val="center"/>
                </w:tcPr>
                <w:p>
                  <w:pPr>
                    <w:pStyle w:val="27"/>
                    <w:jc w:val="center"/>
                  </w:pPr>
                  <w:r>
                    <w:rPr>
                      <w:rFonts w:hint="eastAsia"/>
                    </w:rPr>
                    <w:t>物料堆场</w:t>
                  </w:r>
                </w:p>
              </w:tc>
              <w:tc>
                <w:tcPr>
                  <w:tcW w:w="2823" w:type="pct"/>
                  <w:tcBorders>
                    <w:tl2br w:val="nil"/>
                    <w:tr2bl w:val="nil"/>
                  </w:tcBorders>
                  <w:vAlign w:val="center"/>
                </w:tcPr>
                <w:p>
                  <w:pPr>
                    <w:pStyle w:val="27"/>
                    <w:jc w:val="center"/>
                  </w:pPr>
                  <w:r>
                    <w:rPr>
                      <w:rFonts w:hint="eastAsia"/>
                    </w:rPr>
                    <w:t>本项目物料堆场位于项目占地范围内南侧，堆场面积约为9000m</w:t>
                  </w:r>
                  <w:r>
                    <w:rPr>
                      <w:rFonts w:hint="eastAsia"/>
                      <w:vertAlign w:val="superscript"/>
                    </w:rPr>
                    <w:t>2</w:t>
                  </w:r>
                  <w:r>
                    <w:rPr>
                      <w:rFonts w:hint="eastAsia"/>
                    </w:rPr>
                    <w:t>。</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1286" w:type="pct"/>
                  <w:gridSpan w:val="2"/>
                  <w:tcBorders>
                    <w:tl2br w:val="nil"/>
                    <w:tr2bl w:val="nil"/>
                  </w:tcBorders>
                  <w:vAlign w:val="center"/>
                </w:tcPr>
                <w:p>
                  <w:pPr>
                    <w:pStyle w:val="27"/>
                    <w:jc w:val="center"/>
                  </w:pPr>
                  <w:r>
                    <w:rPr>
                      <w:rFonts w:hint="eastAsia"/>
                    </w:rPr>
                    <w:t>道路及运输车辆</w:t>
                  </w:r>
                </w:p>
              </w:tc>
              <w:tc>
                <w:tcPr>
                  <w:tcW w:w="2823" w:type="pct"/>
                  <w:tcBorders>
                    <w:tl2br w:val="nil"/>
                    <w:tr2bl w:val="nil"/>
                  </w:tcBorders>
                  <w:vAlign w:val="center"/>
                </w:tcPr>
                <w:p>
                  <w:pPr>
                    <w:pStyle w:val="27"/>
                    <w:jc w:val="center"/>
                  </w:pPr>
                  <w:r>
                    <w:rPr>
                      <w:rFonts w:hint="eastAsia"/>
                    </w:rPr>
                    <w:t>新建场内道路200m，装载机、叉车各2台</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1286" w:type="pct"/>
                  <w:gridSpan w:val="2"/>
                  <w:tcBorders>
                    <w:tl2br w:val="nil"/>
                    <w:tr2bl w:val="nil"/>
                  </w:tcBorders>
                  <w:vAlign w:val="center"/>
                </w:tcPr>
                <w:p>
                  <w:pPr>
                    <w:pStyle w:val="27"/>
                    <w:jc w:val="center"/>
                  </w:pPr>
                  <w:r>
                    <w:rPr>
                      <w:rFonts w:hint="eastAsia"/>
                    </w:rPr>
                    <w:t>水泥筒仓</w:t>
                  </w:r>
                </w:p>
              </w:tc>
              <w:tc>
                <w:tcPr>
                  <w:tcW w:w="2823" w:type="pct"/>
                  <w:tcBorders>
                    <w:tl2br w:val="nil"/>
                    <w:tr2bl w:val="nil"/>
                  </w:tcBorders>
                  <w:vAlign w:val="center"/>
                </w:tcPr>
                <w:p>
                  <w:pPr>
                    <w:pStyle w:val="27"/>
                    <w:jc w:val="center"/>
                  </w:pPr>
                  <w:r>
                    <w:rPr>
                      <w:rFonts w:hint="eastAsia"/>
                    </w:rPr>
                    <w:t>项目设置1座水泥筒仓，容积为5</w:t>
                  </w:r>
                  <w:r>
                    <w:t>0m</w:t>
                  </w:r>
                  <w:r>
                    <w:rPr>
                      <w:vertAlign w:val="superscript"/>
                    </w:rPr>
                    <w:t>3</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restart"/>
                  <w:tcBorders>
                    <w:tl2br w:val="nil"/>
                    <w:tr2bl w:val="nil"/>
                  </w:tcBorders>
                  <w:vAlign w:val="center"/>
                </w:tcPr>
                <w:p>
                  <w:pPr>
                    <w:pStyle w:val="27"/>
                    <w:jc w:val="center"/>
                  </w:pPr>
                  <w:r>
                    <w:rPr>
                      <w:rFonts w:hint="eastAsia"/>
                    </w:rPr>
                    <w:t>公用工程</w:t>
                  </w:r>
                </w:p>
              </w:tc>
              <w:tc>
                <w:tcPr>
                  <w:tcW w:w="1286" w:type="pct"/>
                  <w:gridSpan w:val="2"/>
                  <w:tcBorders>
                    <w:tl2br w:val="nil"/>
                    <w:tr2bl w:val="nil"/>
                  </w:tcBorders>
                  <w:vAlign w:val="center"/>
                </w:tcPr>
                <w:p>
                  <w:pPr>
                    <w:pStyle w:val="27"/>
                    <w:jc w:val="center"/>
                  </w:pPr>
                  <w:r>
                    <w:rPr>
                      <w:rFonts w:hint="eastAsia"/>
                    </w:rPr>
                    <w:t>给水</w:t>
                  </w:r>
                </w:p>
              </w:tc>
              <w:tc>
                <w:tcPr>
                  <w:tcW w:w="2823" w:type="pct"/>
                  <w:tcBorders>
                    <w:tl2br w:val="nil"/>
                    <w:tr2bl w:val="nil"/>
                  </w:tcBorders>
                  <w:vAlign w:val="center"/>
                </w:tcPr>
                <w:p>
                  <w:pPr>
                    <w:pStyle w:val="27"/>
                    <w:jc w:val="center"/>
                  </w:pPr>
                  <w:r>
                    <w:rPr>
                      <w:rFonts w:hint="eastAsia"/>
                    </w:rPr>
                    <w:t>水源由莲花台村供应</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1286" w:type="pct"/>
                  <w:gridSpan w:val="2"/>
                  <w:vMerge w:val="restart"/>
                  <w:tcBorders>
                    <w:tl2br w:val="nil"/>
                    <w:tr2bl w:val="nil"/>
                  </w:tcBorders>
                  <w:vAlign w:val="center"/>
                </w:tcPr>
                <w:p>
                  <w:pPr>
                    <w:pStyle w:val="27"/>
                    <w:jc w:val="center"/>
                  </w:pPr>
                  <w:r>
                    <w:rPr>
                      <w:rFonts w:hint="eastAsia"/>
                    </w:rPr>
                    <w:t>排水</w:t>
                  </w:r>
                </w:p>
              </w:tc>
              <w:tc>
                <w:tcPr>
                  <w:tcW w:w="2823" w:type="pct"/>
                  <w:tcBorders>
                    <w:tl2br w:val="nil"/>
                    <w:tr2bl w:val="nil"/>
                  </w:tcBorders>
                  <w:vAlign w:val="center"/>
                </w:tcPr>
                <w:p>
                  <w:pPr>
                    <w:pStyle w:val="27"/>
                    <w:jc w:val="center"/>
                  </w:pPr>
                  <w:r>
                    <w:rPr>
                      <w:rFonts w:hint="eastAsia"/>
                    </w:rPr>
                    <w:t>场内采取雨污分流，雨水排入堰沟；生活污水排入化粪池，定期清掏。</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1286" w:type="pct"/>
                  <w:gridSpan w:val="2"/>
                  <w:vMerge w:val="continue"/>
                  <w:tcBorders>
                    <w:tl2br w:val="nil"/>
                    <w:tr2bl w:val="nil"/>
                  </w:tcBorders>
                  <w:vAlign w:val="center"/>
                </w:tcPr>
                <w:p>
                  <w:pPr>
                    <w:pStyle w:val="27"/>
                    <w:jc w:val="center"/>
                  </w:pPr>
                </w:p>
              </w:tc>
              <w:tc>
                <w:tcPr>
                  <w:tcW w:w="2823" w:type="pct"/>
                  <w:tcBorders>
                    <w:tl2br w:val="nil"/>
                    <w:tr2bl w:val="nil"/>
                  </w:tcBorders>
                  <w:vAlign w:val="center"/>
                </w:tcPr>
                <w:p>
                  <w:pPr>
                    <w:pStyle w:val="27"/>
                    <w:jc w:val="center"/>
                  </w:pPr>
                  <w:r>
                    <w:rPr>
                      <w:rFonts w:hint="eastAsia"/>
                    </w:rPr>
                    <w:t>车辆冲洗废水经沉淀池处理后回用于洗车。</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469" w:type="pct"/>
                  <w:vMerge w:val="continue"/>
                  <w:tcBorders>
                    <w:tl2br w:val="nil"/>
                    <w:tr2bl w:val="nil"/>
                  </w:tcBorders>
                  <w:vAlign w:val="center"/>
                </w:tcPr>
                <w:p>
                  <w:pPr>
                    <w:pStyle w:val="27"/>
                    <w:jc w:val="center"/>
                  </w:pPr>
                </w:p>
              </w:tc>
              <w:tc>
                <w:tcPr>
                  <w:tcW w:w="1286" w:type="pct"/>
                  <w:gridSpan w:val="2"/>
                  <w:tcBorders>
                    <w:tl2br w:val="nil"/>
                    <w:tr2bl w:val="nil"/>
                  </w:tcBorders>
                  <w:vAlign w:val="center"/>
                </w:tcPr>
                <w:p>
                  <w:pPr>
                    <w:pStyle w:val="27"/>
                    <w:jc w:val="center"/>
                  </w:pPr>
                  <w:r>
                    <w:rPr>
                      <w:rFonts w:hint="eastAsia"/>
                    </w:rPr>
                    <w:t>供电</w:t>
                  </w:r>
                </w:p>
              </w:tc>
              <w:tc>
                <w:tcPr>
                  <w:tcW w:w="2823" w:type="pct"/>
                  <w:tcBorders>
                    <w:tl2br w:val="nil"/>
                    <w:tr2bl w:val="nil"/>
                  </w:tcBorders>
                  <w:vAlign w:val="center"/>
                </w:tcPr>
                <w:p>
                  <w:pPr>
                    <w:pStyle w:val="27"/>
                    <w:jc w:val="center"/>
                  </w:pPr>
                  <w:r>
                    <w:rPr>
                      <w:rFonts w:hint="eastAsia"/>
                    </w:rPr>
                    <w:t>10kv~300kv变压器3台，电网依托洛河镇供电所</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469" w:type="pct"/>
                  <w:vMerge w:val="continue"/>
                  <w:tcBorders>
                    <w:tl2br w:val="nil"/>
                    <w:tr2bl w:val="nil"/>
                  </w:tcBorders>
                  <w:vAlign w:val="center"/>
                </w:tcPr>
                <w:p>
                  <w:pPr>
                    <w:pStyle w:val="27"/>
                    <w:jc w:val="center"/>
                  </w:pPr>
                </w:p>
              </w:tc>
              <w:tc>
                <w:tcPr>
                  <w:tcW w:w="1286" w:type="pct"/>
                  <w:gridSpan w:val="2"/>
                  <w:tcBorders>
                    <w:tl2br w:val="nil"/>
                    <w:tr2bl w:val="nil"/>
                  </w:tcBorders>
                </w:tcPr>
                <w:p>
                  <w:pPr>
                    <w:pStyle w:val="27"/>
                    <w:jc w:val="center"/>
                  </w:pPr>
                  <w:r>
                    <w:rPr>
                      <w:rFonts w:hint="eastAsia"/>
                    </w:rPr>
                    <w:t>供暖、制冷</w:t>
                  </w:r>
                </w:p>
              </w:tc>
              <w:tc>
                <w:tcPr>
                  <w:tcW w:w="2823" w:type="pct"/>
                  <w:tcBorders>
                    <w:tl2br w:val="nil"/>
                    <w:tr2bl w:val="nil"/>
                  </w:tcBorders>
                </w:tcPr>
                <w:p>
                  <w:pPr>
                    <w:pStyle w:val="27"/>
                    <w:jc w:val="center"/>
                  </w:pPr>
                  <w:r>
                    <w:rPr>
                      <w:rFonts w:hint="eastAsia"/>
                    </w:rPr>
                    <w:t>办公区采用空调供暖、制冷</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restart"/>
                  <w:tcBorders>
                    <w:tl2br w:val="nil"/>
                    <w:tr2bl w:val="nil"/>
                  </w:tcBorders>
                  <w:vAlign w:val="center"/>
                </w:tcPr>
                <w:p>
                  <w:pPr>
                    <w:pStyle w:val="27"/>
                    <w:jc w:val="center"/>
                  </w:pPr>
                  <w:r>
                    <w:rPr>
                      <w:rFonts w:hint="eastAsia"/>
                    </w:rPr>
                    <w:t>环保工程</w:t>
                  </w:r>
                </w:p>
              </w:tc>
              <w:tc>
                <w:tcPr>
                  <w:tcW w:w="285" w:type="pct"/>
                  <w:vMerge w:val="restart"/>
                  <w:tcBorders>
                    <w:tl2br w:val="nil"/>
                    <w:tr2bl w:val="nil"/>
                  </w:tcBorders>
                  <w:vAlign w:val="center"/>
                </w:tcPr>
                <w:p>
                  <w:pPr>
                    <w:pStyle w:val="27"/>
                    <w:jc w:val="center"/>
                  </w:pPr>
                  <w:r>
                    <w:rPr>
                      <w:rFonts w:hint="eastAsia"/>
                    </w:rPr>
                    <w:t>废气</w:t>
                  </w:r>
                </w:p>
              </w:tc>
              <w:tc>
                <w:tcPr>
                  <w:tcW w:w="1000" w:type="pct"/>
                  <w:tcBorders>
                    <w:tl2br w:val="nil"/>
                    <w:tr2bl w:val="nil"/>
                  </w:tcBorders>
                  <w:vAlign w:val="center"/>
                </w:tcPr>
                <w:p>
                  <w:pPr>
                    <w:pStyle w:val="27"/>
                    <w:jc w:val="center"/>
                  </w:pPr>
                  <w:r>
                    <w:rPr>
                      <w:rFonts w:hint="eastAsia"/>
                    </w:rPr>
                    <w:t>运输扬尘</w:t>
                  </w:r>
                </w:p>
              </w:tc>
              <w:tc>
                <w:tcPr>
                  <w:tcW w:w="2823" w:type="pct"/>
                  <w:tcBorders>
                    <w:tl2br w:val="nil"/>
                    <w:tr2bl w:val="nil"/>
                  </w:tcBorders>
                  <w:vAlign w:val="center"/>
                </w:tcPr>
                <w:p>
                  <w:pPr>
                    <w:pStyle w:val="27"/>
                    <w:jc w:val="center"/>
                  </w:pPr>
                  <w:r>
                    <w:rPr>
                      <w:rFonts w:hint="eastAsia"/>
                    </w:rPr>
                    <w:t>车辆冲洗，路面洒水</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rPr>
                    <w:t>物料堆存及装卸粉尘</w:t>
                  </w:r>
                </w:p>
              </w:tc>
              <w:tc>
                <w:tcPr>
                  <w:tcW w:w="2823" w:type="pct"/>
                  <w:tcBorders>
                    <w:tl2br w:val="nil"/>
                    <w:tr2bl w:val="nil"/>
                  </w:tcBorders>
                  <w:vAlign w:val="center"/>
                </w:tcPr>
                <w:p>
                  <w:pPr>
                    <w:pStyle w:val="27"/>
                    <w:jc w:val="center"/>
                  </w:pPr>
                  <w:r>
                    <w:rPr>
                      <w:rFonts w:hint="eastAsia"/>
                    </w:rPr>
                    <w:t>物料堆放时采用防尘网遮盖并设置围挡</w:t>
                  </w:r>
                  <w:r>
                    <w:t>，</w:t>
                  </w:r>
                  <w:r>
                    <w:rPr>
                      <w:rFonts w:hint="eastAsia"/>
                    </w:rPr>
                    <w:t>且物料装卸料时采用喷雾降尘装置。</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rPr>
                    <w:t>上料粉尘</w:t>
                  </w:r>
                </w:p>
              </w:tc>
              <w:tc>
                <w:tcPr>
                  <w:tcW w:w="2823" w:type="pct"/>
                  <w:tcBorders>
                    <w:tl2br w:val="nil"/>
                    <w:tr2bl w:val="nil"/>
                  </w:tcBorders>
                  <w:vAlign w:val="center"/>
                </w:tcPr>
                <w:p>
                  <w:pPr>
                    <w:pStyle w:val="27"/>
                    <w:jc w:val="center"/>
                  </w:pPr>
                  <w:r>
                    <w:rPr>
                      <w:rFonts w:hint="eastAsia"/>
                    </w:rPr>
                    <w:t>设备位于密闭车间内，顶部配备喷淋设</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rPr>
                    <w:t>重晶石粉工序破碎筛分粉尘</w:t>
                  </w:r>
                </w:p>
              </w:tc>
              <w:tc>
                <w:tcPr>
                  <w:tcW w:w="2823" w:type="pct"/>
                  <w:tcBorders>
                    <w:tl2br w:val="nil"/>
                    <w:tr2bl w:val="nil"/>
                  </w:tcBorders>
                  <w:vAlign w:val="center"/>
                </w:tcPr>
                <w:p>
                  <w:pPr>
                    <w:pStyle w:val="27"/>
                    <w:jc w:val="center"/>
                  </w:pPr>
                  <w:r>
                    <w:rPr>
                      <w:rFonts w:hint="eastAsia"/>
                    </w:rPr>
                    <w:t>设备位于密闭车间内，粉尘经收集后采用袋式除尘器处理后于15m高排气筒（DA</w:t>
                  </w:r>
                  <w:r>
                    <w:t>001</w:t>
                  </w:r>
                  <w:r>
                    <w:rPr>
                      <w:rFonts w:hint="eastAsia"/>
                    </w:rPr>
                    <w:t>）排放</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rPr>
                    <w:t>重晶石粉研磨工序粉尘</w:t>
                  </w:r>
                </w:p>
              </w:tc>
              <w:tc>
                <w:tcPr>
                  <w:tcW w:w="2823" w:type="pct"/>
                  <w:tcBorders>
                    <w:tl2br w:val="nil"/>
                    <w:tr2bl w:val="nil"/>
                  </w:tcBorders>
                  <w:vAlign w:val="center"/>
                </w:tcPr>
                <w:p>
                  <w:pPr>
                    <w:pStyle w:val="27"/>
                    <w:jc w:val="center"/>
                  </w:pPr>
                  <w:r>
                    <w:rPr>
                      <w:rFonts w:hint="eastAsia"/>
                    </w:rPr>
                    <w:t>设备位于密闭车间内，粉尘经收集后采用袋式除尘器处理后于15m高排气筒（DA</w:t>
                  </w:r>
                  <w:r>
                    <w:t>002</w:t>
                  </w:r>
                  <w:r>
                    <w:rPr>
                      <w:rFonts w:hint="eastAsia"/>
                    </w:rPr>
                    <w:t>）排放</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rPr>
                    <w:t>石英砂破碎、筛分工序粉尘</w:t>
                  </w:r>
                </w:p>
              </w:tc>
              <w:tc>
                <w:tcPr>
                  <w:tcW w:w="2823" w:type="pct"/>
                  <w:tcBorders>
                    <w:tl2br w:val="nil"/>
                    <w:tr2bl w:val="nil"/>
                  </w:tcBorders>
                  <w:vAlign w:val="center"/>
                </w:tcPr>
                <w:p>
                  <w:pPr>
                    <w:pStyle w:val="27"/>
                    <w:jc w:val="center"/>
                  </w:pPr>
                  <w:r>
                    <w:rPr>
                      <w:rFonts w:hint="eastAsia"/>
                    </w:rPr>
                    <w:t>设备位于密闭车间内，粉尘经收集后采用袋式除尘器处理后于15m高排气筒（DA</w:t>
                  </w:r>
                  <w:r>
                    <w:t>003</w:t>
                  </w:r>
                  <w:r>
                    <w:rPr>
                      <w:rFonts w:hint="eastAsia"/>
                    </w:rPr>
                    <w:t>）排放</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rPr>
                    <w:t>搅拌粉尘</w:t>
                  </w:r>
                </w:p>
              </w:tc>
              <w:tc>
                <w:tcPr>
                  <w:tcW w:w="2823" w:type="pct"/>
                  <w:tcBorders>
                    <w:tl2br w:val="nil"/>
                    <w:tr2bl w:val="nil"/>
                  </w:tcBorders>
                  <w:vAlign w:val="center"/>
                </w:tcPr>
                <w:p>
                  <w:pPr>
                    <w:pStyle w:val="27"/>
                    <w:jc w:val="center"/>
                  </w:pPr>
                  <w:r>
                    <w:rPr>
                      <w:rFonts w:hint="eastAsia"/>
                    </w:rPr>
                    <w:t>设备位于密闭车间内，顶部配备喷淋设施</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rPr>
                    <w:t>筒仓粉尘</w:t>
                  </w:r>
                </w:p>
              </w:tc>
              <w:tc>
                <w:tcPr>
                  <w:tcW w:w="2823" w:type="pct"/>
                  <w:tcBorders>
                    <w:tl2br w:val="nil"/>
                    <w:tr2bl w:val="nil"/>
                  </w:tcBorders>
                  <w:vAlign w:val="center"/>
                </w:tcPr>
                <w:p>
                  <w:pPr>
                    <w:pStyle w:val="27"/>
                    <w:jc w:val="center"/>
                  </w:pPr>
                  <w:r>
                    <w:rPr>
                      <w:rFonts w:hint="eastAsia"/>
                    </w:rPr>
                    <w:t>密闭筒仓，筒仓顶部配备脉冲式除尘器处理后于生产厂房内无组织排放</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restart"/>
                  <w:tcBorders>
                    <w:tl2br w:val="nil"/>
                    <w:tr2bl w:val="nil"/>
                  </w:tcBorders>
                  <w:vAlign w:val="center"/>
                </w:tcPr>
                <w:p>
                  <w:pPr>
                    <w:pStyle w:val="27"/>
                    <w:jc w:val="center"/>
                  </w:pPr>
                  <w:r>
                    <w:rPr>
                      <w:rFonts w:hint="eastAsia"/>
                    </w:rPr>
                    <w:t>废水</w:t>
                  </w:r>
                </w:p>
              </w:tc>
              <w:tc>
                <w:tcPr>
                  <w:tcW w:w="1000" w:type="pct"/>
                  <w:tcBorders>
                    <w:tl2br w:val="nil"/>
                    <w:tr2bl w:val="nil"/>
                  </w:tcBorders>
                  <w:vAlign w:val="center"/>
                </w:tcPr>
                <w:p>
                  <w:pPr>
                    <w:pStyle w:val="27"/>
                    <w:jc w:val="center"/>
                  </w:pPr>
                  <w:r>
                    <w:rPr>
                      <w:rFonts w:hint="eastAsia"/>
                    </w:rPr>
                    <w:t>洗车废水</w:t>
                  </w:r>
                </w:p>
              </w:tc>
              <w:tc>
                <w:tcPr>
                  <w:tcW w:w="2823" w:type="pct"/>
                  <w:tcBorders>
                    <w:tl2br w:val="nil"/>
                    <w:tr2bl w:val="nil"/>
                  </w:tcBorders>
                </w:tcPr>
                <w:p>
                  <w:pPr>
                    <w:pStyle w:val="27"/>
                    <w:jc w:val="center"/>
                  </w:pPr>
                  <w:r>
                    <w:rPr>
                      <w:rFonts w:hint="eastAsia"/>
                    </w:rPr>
                    <w:t>车辆进出口设置洗车平台，洗车废水经沉淀池处理后回用于洗车工序</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pStyle w:val="27"/>
                    <w:jc w:val="cente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rPr>
                    <w:t>生活污水</w:t>
                  </w:r>
                </w:p>
              </w:tc>
              <w:tc>
                <w:tcPr>
                  <w:tcW w:w="2823" w:type="pct"/>
                  <w:tcBorders>
                    <w:tl2br w:val="nil"/>
                    <w:tr2bl w:val="nil"/>
                  </w:tcBorders>
                </w:tcPr>
                <w:p>
                  <w:pPr>
                    <w:pStyle w:val="27"/>
                    <w:jc w:val="center"/>
                  </w:pPr>
                  <w:r>
                    <w:rPr>
                      <w:rFonts w:hint="eastAsia"/>
                    </w:rPr>
                    <w:t>生活污水经化粪池处理后定期清掏</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adjustRightInd w:val="0"/>
                    <w:snapToGrid w:val="0"/>
                    <w:ind w:firstLine="420"/>
                    <w:jc w:val="center"/>
                    <w:rPr>
                      <w:kern w:val="0"/>
                      <w:sz w:val="20"/>
                      <w:szCs w:val="20"/>
                    </w:rPr>
                  </w:pPr>
                </w:p>
              </w:tc>
              <w:tc>
                <w:tcPr>
                  <w:tcW w:w="285" w:type="pct"/>
                  <w:vMerge w:val="restart"/>
                  <w:tcBorders>
                    <w:tl2br w:val="nil"/>
                    <w:tr2bl w:val="nil"/>
                  </w:tcBorders>
                  <w:vAlign w:val="center"/>
                </w:tcPr>
                <w:p>
                  <w:pPr>
                    <w:pStyle w:val="27"/>
                    <w:jc w:val="center"/>
                  </w:pPr>
                  <w:r>
                    <w:rPr>
                      <w:rFonts w:hint="eastAsia"/>
                    </w:rPr>
                    <w:t>固体废物</w:t>
                  </w:r>
                </w:p>
              </w:tc>
              <w:tc>
                <w:tcPr>
                  <w:tcW w:w="1000" w:type="pct"/>
                  <w:tcBorders>
                    <w:tl2br w:val="nil"/>
                    <w:tr2bl w:val="nil"/>
                  </w:tcBorders>
                  <w:vAlign w:val="center"/>
                </w:tcPr>
                <w:p>
                  <w:pPr>
                    <w:pStyle w:val="51"/>
                    <w:jc w:val="center"/>
                    <w:rPr>
                      <w:color w:val="auto"/>
                    </w:rPr>
                  </w:pPr>
                  <w:r>
                    <w:rPr>
                      <w:rFonts w:hint="eastAsia"/>
                      <w:color w:val="auto"/>
                      <w:sz w:val="21"/>
                      <w:szCs w:val="21"/>
                    </w:rPr>
                    <w:t>不合格物料</w:t>
                  </w:r>
                </w:p>
              </w:tc>
              <w:tc>
                <w:tcPr>
                  <w:tcW w:w="2823" w:type="pct"/>
                  <w:tcBorders>
                    <w:tl2br w:val="nil"/>
                    <w:tr2bl w:val="nil"/>
                  </w:tcBorders>
                  <w:vAlign w:val="center"/>
                </w:tcPr>
                <w:p>
                  <w:pPr>
                    <w:pStyle w:val="27"/>
                    <w:jc w:val="center"/>
                  </w:pPr>
                  <w:r>
                    <w:rPr>
                      <w:rFonts w:hint="eastAsia"/>
                    </w:rPr>
                    <w:t>筛分工序产生的不合格物料返回破碎工序</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469" w:type="pct"/>
                  <w:vMerge w:val="continue"/>
                  <w:tcBorders>
                    <w:tl2br w:val="nil"/>
                    <w:tr2bl w:val="nil"/>
                  </w:tcBorders>
                  <w:vAlign w:val="center"/>
                </w:tcPr>
                <w:p>
                  <w:pPr>
                    <w:autoSpaceDE w:val="0"/>
                    <w:adjustRightInd w:val="0"/>
                    <w:snapToGrid w:val="0"/>
                    <w:jc w:val="center"/>
                    <w:rPr>
                      <w:sz w:val="20"/>
                      <w:szCs w:val="20"/>
                    </w:rP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51"/>
                    <w:jc w:val="center"/>
                    <w:rPr>
                      <w:color w:val="auto"/>
                    </w:rPr>
                  </w:pPr>
                  <w:r>
                    <w:rPr>
                      <w:rFonts w:hint="eastAsia" w:ascii="Times New Roman" w:cs="Times New Roman"/>
                      <w:color w:val="auto"/>
                      <w:sz w:val="21"/>
                      <w:szCs w:val="21"/>
                    </w:rPr>
                    <w:t>除尘装置粉尘</w:t>
                  </w:r>
                </w:p>
              </w:tc>
              <w:tc>
                <w:tcPr>
                  <w:tcW w:w="2823" w:type="pct"/>
                  <w:tcBorders>
                    <w:tl2br w:val="nil"/>
                    <w:tr2bl w:val="nil"/>
                  </w:tcBorders>
                  <w:vAlign w:val="center"/>
                </w:tcPr>
                <w:p>
                  <w:pPr>
                    <w:pStyle w:val="27"/>
                    <w:jc w:val="center"/>
                  </w:pPr>
                  <w:r>
                    <w:rPr>
                      <w:rFonts w:hint="eastAsia"/>
                    </w:rPr>
                    <w:t>经收集后回用于生产工序</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pct"/>
                  <w:vMerge w:val="continue"/>
                  <w:tcBorders>
                    <w:tl2br w:val="nil"/>
                    <w:tr2bl w:val="nil"/>
                  </w:tcBorders>
                  <w:vAlign w:val="center"/>
                </w:tcPr>
                <w:p>
                  <w:pPr>
                    <w:autoSpaceDE w:val="0"/>
                    <w:adjustRightInd w:val="0"/>
                    <w:snapToGrid w:val="0"/>
                    <w:jc w:val="center"/>
                    <w:rPr>
                      <w:sz w:val="20"/>
                      <w:szCs w:val="20"/>
                    </w:rP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pPr>
                  <w:r>
                    <w:rPr>
                      <w:rFonts w:hint="eastAsia" w:eastAsia="宋体" w:cs="Times New Roman"/>
                      <w:spacing w:val="-1"/>
                      <w:szCs w:val="21"/>
                    </w:rPr>
                    <w:t>沉淀池泥沙</w:t>
                  </w:r>
                </w:p>
              </w:tc>
              <w:tc>
                <w:tcPr>
                  <w:tcW w:w="2823" w:type="pct"/>
                  <w:tcBorders>
                    <w:tl2br w:val="nil"/>
                    <w:tr2bl w:val="nil"/>
                  </w:tcBorders>
                  <w:vAlign w:val="center"/>
                </w:tcPr>
                <w:p>
                  <w:pPr>
                    <w:pStyle w:val="27"/>
                    <w:jc w:val="center"/>
                  </w:pPr>
                  <w:r>
                    <w:rPr>
                      <w:rFonts w:hint="eastAsia"/>
                    </w:rPr>
                    <w:t>收集后运送至垃圾填埋场填埋</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pct"/>
                  <w:vMerge w:val="continue"/>
                  <w:tcBorders>
                    <w:tl2br w:val="nil"/>
                    <w:tr2bl w:val="nil"/>
                  </w:tcBorders>
                  <w:vAlign w:val="center"/>
                </w:tcPr>
                <w:p>
                  <w:pPr>
                    <w:autoSpaceDE w:val="0"/>
                    <w:adjustRightInd w:val="0"/>
                    <w:snapToGrid w:val="0"/>
                    <w:jc w:val="center"/>
                    <w:rPr>
                      <w:sz w:val="20"/>
                      <w:szCs w:val="20"/>
                    </w:rPr>
                  </w:pPr>
                </w:p>
              </w:tc>
              <w:tc>
                <w:tcPr>
                  <w:tcW w:w="285" w:type="pct"/>
                  <w:vMerge w:val="continue"/>
                  <w:tcBorders>
                    <w:tl2br w:val="nil"/>
                    <w:tr2bl w:val="nil"/>
                  </w:tcBorders>
                  <w:vAlign w:val="center"/>
                </w:tcPr>
                <w:p>
                  <w:pPr>
                    <w:pStyle w:val="27"/>
                    <w:jc w:val="center"/>
                  </w:pPr>
                </w:p>
              </w:tc>
              <w:tc>
                <w:tcPr>
                  <w:tcW w:w="1000" w:type="pct"/>
                  <w:tcBorders>
                    <w:tl2br w:val="nil"/>
                    <w:tr2bl w:val="nil"/>
                  </w:tcBorders>
                  <w:vAlign w:val="center"/>
                </w:tcPr>
                <w:p>
                  <w:pPr>
                    <w:pStyle w:val="27"/>
                    <w:jc w:val="center"/>
                    <w:rPr>
                      <w:rFonts w:eastAsia="宋体" w:cs="Times New Roman"/>
                      <w:spacing w:val="-1"/>
                      <w:szCs w:val="21"/>
                    </w:rPr>
                  </w:pPr>
                  <w:r>
                    <w:rPr>
                      <w:rFonts w:hint="eastAsia" w:eastAsia="宋体" w:cs="Times New Roman"/>
                      <w:spacing w:val="-1"/>
                      <w:szCs w:val="21"/>
                    </w:rPr>
                    <w:t>危险废物</w:t>
                  </w:r>
                </w:p>
              </w:tc>
              <w:tc>
                <w:tcPr>
                  <w:tcW w:w="2823" w:type="pct"/>
                  <w:tcBorders>
                    <w:tl2br w:val="nil"/>
                    <w:tr2bl w:val="nil"/>
                  </w:tcBorders>
                  <w:vAlign w:val="center"/>
                </w:tcPr>
                <w:p>
                  <w:pPr>
                    <w:pStyle w:val="27"/>
                    <w:jc w:val="center"/>
                  </w:pPr>
                  <w:r>
                    <w:rPr>
                      <w:rFonts w:hint="eastAsia"/>
                    </w:rPr>
                    <w:t>本项目产生的危险废物存放于危废暂存柜中，定期由有资质单位清运。</w:t>
                  </w:r>
                </w:p>
              </w:tc>
              <w:tc>
                <w:tcPr>
                  <w:tcW w:w="420" w:type="pct"/>
                  <w:tcBorders>
                    <w:tl2br w:val="nil"/>
                    <w:tr2bl w:val="nil"/>
                  </w:tcBorders>
                  <w:vAlign w:val="center"/>
                </w:tcPr>
                <w:p>
                  <w:pPr>
                    <w:pStyle w:val="27"/>
                    <w:jc w:val="center"/>
                  </w:pPr>
                  <w:r>
                    <w:rPr>
                      <w:rFonts w:hint="eastAsia"/>
                    </w:rPr>
                    <w:t>新建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9" w:type="pct"/>
                  <w:vMerge w:val="continue"/>
                  <w:tcBorders>
                    <w:tl2br w:val="nil"/>
                    <w:tr2bl w:val="nil"/>
                  </w:tcBorders>
                  <w:vAlign w:val="center"/>
                </w:tcPr>
                <w:p>
                  <w:pPr>
                    <w:adjustRightInd w:val="0"/>
                    <w:snapToGrid w:val="0"/>
                    <w:ind w:firstLine="420"/>
                    <w:jc w:val="center"/>
                    <w:rPr>
                      <w:kern w:val="0"/>
                      <w:sz w:val="20"/>
                      <w:szCs w:val="20"/>
                    </w:rPr>
                  </w:pPr>
                </w:p>
              </w:tc>
              <w:tc>
                <w:tcPr>
                  <w:tcW w:w="1286" w:type="pct"/>
                  <w:gridSpan w:val="2"/>
                  <w:tcBorders>
                    <w:tl2br w:val="nil"/>
                    <w:tr2bl w:val="nil"/>
                  </w:tcBorders>
                  <w:vAlign w:val="center"/>
                </w:tcPr>
                <w:p>
                  <w:pPr>
                    <w:pStyle w:val="27"/>
                    <w:jc w:val="center"/>
                  </w:pPr>
                  <w:r>
                    <w:rPr>
                      <w:rFonts w:hint="eastAsia"/>
                    </w:rPr>
                    <w:t>噪声</w:t>
                  </w:r>
                </w:p>
              </w:tc>
              <w:tc>
                <w:tcPr>
                  <w:tcW w:w="2823" w:type="pct"/>
                  <w:tcBorders>
                    <w:tl2br w:val="nil"/>
                    <w:tr2bl w:val="nil"/>
                  </w:tcBorders>
                  <w:vAlign w:val="center"/>
                </w:tcPr>
                <w:p>
                  <w:pPr>
                    <w:pStyle w:val="27"/>
                    <w:jc w:val="center"/>
                  </w:pPr>
                  <w:r>
                    <w:rPr>
                      <w:rFonts w:hint="eastAsia"/>
                    </w:rPr>
                    <w:t>基础减振、厂房隔声</w:t>
                  </w:r>
                </w:p>
              </w:tc>
              <w:tc>
                <w:tcPr>
                  <w:tcW w:w="420" w:type="pct"/>
                  <w:tcBorders>
                    <w:tl2br w:val="nil"/>
                    <w:tr2bl w:val="nil"/>
                  </w:tcBorders>
                  <w:vAlign w:val="center"/>
                </w:tcPr>
                <w:p>
                  <w:pPr>
                    <w:pStyle w:val="27"/>
                    <w:jc w:val="center"/>
                  </w:pPr>
                  <w:r>
                    <w:rPr>
                      <w:rFonts w:hint="eastAsia"/>
                    </w:rPr>
                    <w:t>新建</w:t>
                  </w:r>
                </w:p>
              </w:tc>
            </w:tr>
          </w:tbl>
          <w:p>
            <w:pPr>
              <w:rPr>
                <w:b/>
                <w:szCs w:val="21"/>
                <w:lang w:val="zh-CN"/>
              </w:rPr>
            </w:pPr>
            <w:bookmarkStart w:id="2" w:name="_Toc47237595"/>
            <w:r>
              <w:rPr>
                <w:rFonts w:hint="eastAsia"/>
                <w:b/>
                <w:szCs w:val="21"/>
                <w:lang w:val="zh-CN"/>
              </w:rPr>
              <w:t>（三）产品方案</w:t>
            </w:r>
          </w:p>
          <w:p>
            <w:pPr>
              <w:ind w:firstLine="480" w:firstLineChars="200"/>
            </w:pPr>
            <w:r>
              <w:t>本项目具体产品方案见</w:t>
            </w:r>
            <w:r>
              <w:rPr>
                <w:rFonts w:hint="eastAsia"/>
              </w:rPr>
              <w:t>下</w:t>
            </w:r>
            <w:r>
              <w:t>表。</w:t>
            </w:r>
          </w:p>
          <w:p>
            <w:pPr>
              <w:pStyle w:val="28"/>
            </w:pPr>
          </w:p>
          <w:p>
            <w:pPr>
              <w:pStyle w:val="28"/>
              <w:rPr>
                <w:lang w:val="en-US"/>
              </w:rPr>
            </w:pPr>
            <w:r>
              <w:rPr>
                <w:rFonts w:hint="eastAsia"/>
              </w:rPr>
              <w:t>表</w:t>
            </w:r>
            <w:r>
              <w:rPr>
                <w:lang w:val="en-US"/>
              </w:rPr>
              <w:t>2-2</w:t>
            </w:r>
            <w:r>
              <w:rPr>
                <w:rFonts w:hint="eastAsia"/>
                <w:lang w:val="en-US"/>
              </w:rPr>
              <w:t xml:space="preserve">  </w:t>
            </w:r>
            <w:r>
              <w:rPr>
                <w:rFonts w:hint="eastAsia"/>
              </w:rPr>
              <w:t>项目产品及产能</w:t>
            </w:r>
          </w:p>
          <w:tbl>
            <w:tblPr>
              <w:tblStyle w:val="20"/>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584"/>
              <w:gridCol w:w="1314"/>
              <w:gridCol w:w="1136"/>
              <w:gridCol w:w="297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4" w:type="pct"/>
                  <w:tcBorders>
                    <w:tl2br w:val="nil"/>
                    <w:tr2bl w:val="nil"/>
                  </w:tcBorders>
                  <w:shd w:val="clear" w:color="auto" w:fill="auto"/>
                  <w:vAlign w:val="center"/>
                </w:tcPr>
                <w:p>
                  <w:pPr>
                    <w:pStyle w:val="27"/>
                    <w:jc w:val="center"/>
                  </w:pPr>
                  <w:r>
                    <w:rPr>
                      <w:rFonts w:hint="eastAsia"/>
                    </w:rPr>
                    <w:t>序号</w:t>
                  </w:r>
                </w:p>
              </w:tc>
              <w:tc>
                <w:tcPr>
                  <w:tcW w:w="1021" w:type="pct"/>
                  <w:tcBorders>
                    <w:tl2br w:val="nil"/>
                    <w:tr2bl w:val="nil"/>
                  </w:tcBorders>
                  <w:vAlign w:val="center"/>
                </w:tcPr>
                <w:p>
                  <w:pPr>
                    <w:pStyle w:val="27"/>
                    <w:jc w:val="center"/>
                  </w:pPr>
                  <w:r>
                    <w:rPr>
                      <w:rFonts w:hint="eastAsia"/>
                    </w:rPr>
                    <w:t>产品名称</w:t>
                  </w:r>
                </w:p>
              </w:tc>
              <w:tc>
                <w:tcPr>
                  <w:tcW w:w="847" w:type="pct"/>
                  <w:tcBorders>
                    <w:tl2br w:val="nil"/>
                    <w:tr2bl w:val="nil"/>
                  </w:tcBorders>
                  <w:vAlign w:val="center"/>
                </w:tcPr>
                <w:p>
                  <w:pPr>
                    <w:pStyle w:val="27"/>
                    <w:jc w:val="center"/>
                  </w:pPr>
                  <w:r>
                    <w:rPr>
                      <w:rFonts w:hint="eastAsia"/>
                    </w:rPr>
                    <w:t>年产量</w:t>
                  </w:r>
                </w:p>
              </w:tc>
              <w:tc>
                <w:tcPr>
                  <w:tcW w:w="732" w:type="pct"/>
                  <w:tcBorders>
                    <w:tl2br w:val="nil"/>
                    <w:tr2bl w:val="nil"/>
                  </w:tcBorders>
                  <w:shd w:val="clear" w:color="auto" w:fill="auto"/>
                  <w:vAlign w:val="center"/>
                </w:tcPr>
                <w:p>
                  <w:pPr>
                    <w:pStyle w:val="27"/>
                    <w:jc w:val="center"/>
                  </w:pPr>
                  <w:r>
                    <w:rPr>
                      <w:rFonts w:hint="eastAsia"/>
                    </w:rPr>
                    <w:t>单位</w:t>
                  </w:r>
                </w:p>
              </w:tc>
              <w:tc>
                <w:tcPr>
                  <w:tcW w:w="1916" w:type="pct"/>
                  <w:tcBorders>
                    <w:tl2br w:val="nil"/>
                    <w:tr2bl w:val="nil"/>
                  </w:tcBorders>
                  <w:vAlign w:val="center"/>
                </w:tcPr>
                <w:p>
                  <w:pPr>
                    <w:pStyle w:val="27"/>
                    <w:jc w:val="center"/>
                  </w:pPr>
                  <w:r>
                    <w:rPr>
                      <w:rFonts w:hint="eastAsia"/>
                    </w:rPr>
                    <w:t>备注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84" w:type="pct"/>
                  <w:tcBorders>
                    <w:tl2br w:val="nil"/>
                    <w:tr2bl w:val="nil"/>
                  </w:tcBorders>
                  <w:shd w:val="clear" w:color="auto" w:fill="auto"/>
                  <w:vAlign w:val="center"/>
                </w:tcPr>
                <w:p>
                  <w:pPr>
                    <w:pStyle w:val="27"/>
                    <w:jc w:val="center"/>
                  </w:pPr>
                  <w:r>
                    <w:rPr>
                      <w:rFonts w:hint="eastAsia"/>
                    </w:rPr>
                    <w:t>1</w:t>
                  </w:r>
                </w:p>
              </w:tc>
              <w:tc>
                <w:tcPr>
                  <w:tcW w:w="1021" w:type="pct"/>
                  <w:tcBorders>
                    <w:tl2br w:val="nil"/>
                    <w:tr2bl w:val="nil"/>
                  </w:tcBorders>
                  <w:vAlign w:val="center"/>
                </w:tcPr>
                <w:p>
                  <w:pPr>
                    <w:pStyle w:val="27"/>
                    <w:jc w:val="center"/>
                  </w:pPr>
                  <w:r>
                    <w:rPr>
                      <w:rFonts w:cs="Times New Roman"/>
                    </w:rPr>
                    <w:t>重晶石粉</w:t>
                  </w:r>
                </w:p>
              </w:tc>
              <w:tc>
                <w:tcPr>
                  <w:tcW w:w="847" w:type="pct"/>
                  <w:tcBorders>
                    <w:tl2br w:val="nil"/>
                    <w:tr2bl w:val="nil"/>
                  </w:tcBorders>
                  <w:vAlign w:val="center"/>
                </w:tcPr>
                <w:p>
                  <w:pPr>
                    <w:pStyle w:val="27"/>
                    <w:jc w:val="center"/>
                  </w:pPr>
                  <w:r>
                    <w:rPr>
                      <w:rFonts w:hint="eastAsia"/>
                    </w:rPr>
                    <w:t>约</w:t>
                  </w:r>
                  <w:r>
                    <w:t>17.6</w:t>
                  </w:r>
                </w:p>
              </w:tc>
              <w:tc>
                <w:tcPr>
                  <w:tcW w:w="732" w:type="pct"/>
                  <w:tcBorders>
                    <w:tl2br w:val="nil"/>
                    <w:tr2bl w:val="nil"/>
                  </w:tcBorders>
                  <w:shd w:val="clear" w:color="auto" w:fill="auto"/>
                  <w:vAlign w:val="center"/>
                </w:tcPr>
                <w:p>
                  <w:pPr>
                    <w:pStyle w:val="27"/>
                    <w:jc w:val="center"/>
                  </w:pPr>
                  <w:r>
                    <w:rPr>
                      <w:rFonts w:hint="eastAsia"/>
                    </w:rPr>
                    <w:t>万t/</w:t>
                  </w:r>
                  <w:r>
                    <w:t>a</w:t>
                  </w:r>
                </w:p>
              </w:tc>
              <w:tc>
                <w:tcPr>
                  <w:tcW w:w="1916" w:type="pct"/>
                  <w:tcBorders>
                    <w:tl2br w:val="nil"/>
                    <w:tr2bl w:val="nil"/>
                  </w:tcBorders>
                  <w:vAlign w:val="center"/>
                </w:tcPr>
                <w:p>
                  <w:pPr>
                    <w:pStyle w:val="27"/>
                    <w:jc w:val="center"/>
                  </w:pPr>
                  <w:r>
                    <w:rPr>
                      <w:rFonts w:hint="eastAsia"/>
                    </w:rPr>
                    <w:t>特级4.3g/m</w:t>
                  </w:r>
                  <w:r>
                    <w:rPr>
                      <w:rFonts w:hint="eastAsia"/>
                      <w:vertAlign w:val="superscript"/>
                    </w:rPr>
                    <w:t>3</w:t>
                  </w:r>
                  <w:r>
                    <w:rPr>
                      <w:rFonts w:hint="eastAsia"/>
                    </w:rPr>
                    <w:t>，I级4.3g/m</w:t>
                  </w:r>
                  <w:r>
                    <w:rPr>
                      <w:rFonts w:hint="eastAsia"/>
                      <w:vertAlign w:val="superscript"/>
                    </w:rPr>
                    <w:t>3</w:t>
                  </w:r>
                  <w:r>
                    <w:rPr>
                      <w:rFonts w:hint="eastAsia"/>
                    </w:rPr>
                    <w:t>，II级4.05g/m</w:t>
                  </w:r>
                  <w:r>
                    <w:rPr>
                      <w:rFonts w:hint="eastAsia"/>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4" w:type="pct"/>
                  <w:tcBorders>
                    <w:tl2br w:val="nil"/>
                    <w:tr2bl w:val="nil"/>
                  </w:tcBorders>
                  <w:shd w:val="clear" w:color="auto" w:fill="auto"/>
                  <w:vAlign w:val="center"/>
                </w:tcPr>
                <w:p>
                  <w:pPr>
                    <w:pStyle w:val="27"/>
                    <w:jc w:val="center"/>
                  </w:pPr>
                  <w:r>
                    <w:t>2</w:t>
                  </w:r>
                </w:p>
              </w:tc>
              <w:tc>
                <w:tcPr>
                  <w:tcW w:w="1021" w:type="pct"/>
                  <w:tcBorders>
                    <w:tl2br w:val="nil"/>
                    <w:tr2bl w:val="nil"/>
                  </w:tcBorders>
                  <w:vAlign w:val="center"/>
                </w:tcPr>
                <w:p>
                  <w:pPr>
                    <w:pStyle w:val="27"/>
                    <w:jc w:val="center"/>
                  </w:pPr>
                  <w:r>
                    <w:rPr>
                      <w:rFonts w:cs="Times New Roman"/>
                    </w:rPr>
                    <w:t>石英砂</w:t>
                  </w:r>
                </w:p>
              </w:tc>
              <w:tc>
                <w:tcPr>
                  <w:tcW w:w="847" w:type="pct"/>
                  <w:tcBorders>
                    <w:tl2br w:val="nil"/>
                    <w:tr2bl w:val="nil"/>
                  </w:tcBorders>
                  <w:vAlign w:val="center"/>
                </w:tcPr>
                <w:p>
                  <w:pPr>
                    <w:pStyle w:val="27"/>
                    <w:jc w:val="center"/>
                  </w:pPr>
                  <w:r>
                    <w:rPr>
                      <w:rFonts w:hint="eastAsia"/>
                    </w:rPr>
                    <w:t>约10</w:t>
                  </w:r>
                </w:p>
              </w:tc>
              <w:tc>
                <w:tcPr>
                  <w:tcW w:w="732" w:type="pct"/>
                  <w:tcBorders>
                    <w:tl2br w:val="nil"/>
                    <w:tr2bl w:val="nil"/>
                  </w:tcBorders>
                  <w:shd w:val="clear" w:color="auto" w:fill="auto"/>
                  <w:vAlign w:val="center"/>
                </w:tcPr>
                <w:p>
                  <w:pPr>
                    <w:pStyle w:val="27"/>
                    <w:jc w:val="center"/>
                  </w:pPr>
                  <w:r>
                    <w:rPr>
                      <w:rFonts w:hint="eastAsia"/>
                    </w:rPr>
                    <w:t>万t/</w:t>
                  </w:r>
                  <w:r>
                    <w:t>a</w:t>
                  </w:r>
                </w:p>
              </w:tc>
              <w:tc>
                <w:tcPr>
                  <w:tcW w:w="1916" w:type="pct"/>
                  <w:tcBorders>
                    <w:tl2br w:val="nil"/>
                    <w:tr2bl w:val="nil"/>
                  </w:tcBorders>
                  <w:vAlign w:val="center"/>
                </w:tcPr>
                <w:p>
                  <w:pPr>
                    <w:pStyle w:val="27"/>
                    <w:jc w:val="center"/>
                  </w:pPr>
                  <w:r>
                    <w:rPr>
                      <w:rFonts w:hint="eastAsia"/>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4" w:type="pct"/>
                  <w:tcBorders>
                    <w:tl2br w:val="nil"/>
                    <w:tr2bl w:val="nil"/>
                  </w:tcBorders>
                  <w:shd w:val="clear" w:color="auto" w:fill="auto"/>
                  <w:vAlign w:val="center"/>
                </w:tcPr>
                <w:p>
                  <w:pPr>
                    <w:pStyle w:val="27"/>
                    <w:jc w:val="center"/>
                  </w:pPr>
                  <w:r>
                    <w:rPr>
                      <w:rFonts w:hint="eastAsia"/>
                    </w:rPr>
                    <w:t>3</w:t>
                  </w:r>
                </w:p>
              </w:tc>
              <w:tc>
                <w:tcPr>
                  <w:tcW w:w="1021" w:type="pct"/>
                  <w:tcBorders>
                    <w:tl2br w:val="nil"/>
                    <w:tr2bl w:val="nil"/>
                  </w:tcBorders>
                  <w:vAlign w:val="center"/>
                </w:tcPr>
                <w:p>
                  <w:pPr>
                    <w:pStyle w:val="27"/>
                    <w:jc w:val="center"/>
                  </w:pPr>
                  <w:r>
                    <w:rPr>
                      <w:rFonts w:cs="Times New Roman"/>
                    </w:rPr>
                    <w:t>活化石粉</w:t>
                  </w:r>
                </w:p>
              </w:tc>
              <w:tc>
                <w:tcPr>
                  <w:tcW w:w="847" w:type="pct"/>
                  <w:tcBorders>
                    <w:tl2br w:val="nil"/>
                    <w:tr2bl w:val="nil"/>
                  </w:tcBorders>
                  <w:vAlign w:val="center"/>
                </w:tcPr>
                <w:p>
                  <w:pPr>
                    <w:pStyle w:val="27"/>
                    <w:jc w:val="center"/>
                  </w:pPr>
                  <w:r>
                    <w:rPr>
                      <w:rFonts w:hint="eastAsia"/>
                    </w:rPr>
                    <w:t>约2</w:t>
                  </w:r>
                </w:p>
              </w:tc>
              <w:tc>
                <w:tcPr>
                  <w:tcW w:w="732" w:type="pct"/>
                  <w:tcBorders>
                    <w:tl2br w:val="nil"/>
                    <w:tr2bl w:val="nil"/>
                  </w:tcBorders>
                  <w:shd w:val="clear" w:color="auto" w:fill="auto"/>
                  <w:vAlign w:val="center"/>
                </w:tcPr>
                <w:p>
                  <w:pPr>
                    <w:pStyle w:val="27"/>
                    <w:jc w:val="center"/>
                  </w:pPr>
                  <w:r>
                    <w:rPr>
                      <w:rFonts w:hint="eastAsia"/>
                    </w:rPr>
                    <w:t>万t/</w:t>
                  </w:r>
                  <w:r>
                    <w:t>a</w:t>
                  </w:r>
                </w:p>
              </w:tc>
              <w:tc>
                <w:tcPr>
                  <w:tcW w:w="1916" w:type="pct"/>
                  <w:tcBorders>
                    <w:tl2br w:val="nil"/>
                    <w:tr2bl w:val="nil"/>
                  </w:tcBorders>
                  <w:vAlign w:val="center"/>
                </w:tcPr>
                <w:p>
                  <w:pPr>
                    <w:pStyle w:val="27"/>
                    <w:jc w:val="cente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4" w:type="pct"/>
                  <w:tcBorders>
                    <w:tl2br w:val="nil"/>
                    <w:tr2bl w:val="nil"/>
                  </w:tcBorders>
                  <w:shd w:val="clear" w:color="auto" w:fill="auto"/>
                  <w:vAlign w:val="center"/>
                </w:tcPr>
                <w:p>
                  <w:pPr>
                    <w:pStyle w:val="27"/>
                    <w:jc w:val="center"/>
                  </w:pPr>
                  <w:r>
                    <w:rPr>
                      <w:rFonts w:hint="eastAsia"/>
                    </w:rPr>
                    <w:t>4</w:t>
                  </w:r>
                </w:p>
              </w:tc>
              <w:tc>
                <w:tcPr>
                  <w:tcW w:w="1021" w:type="pct"/>
                  <w:tcBorders>
                    <w:tl2br w:val="nil"/>
                    <w:tr2bl w:val="nil"/>
                  </w:tcBorders>
                  <w:vAlign w:val="center"/>
                </w:tcPr>
                <w:p>
                  <w:pPr>
                    <w:pStyle w:val="27"/>
                    <w:jc w:val="center"/>
                  </w:pPr>
                  <w:r>
                    <w:rPr>
                      <w:rFonts w:cs="Times New Roman"/>
                    </w:rPr>
                    <w:t>防辐射预制品</w:t>
                  </w:r>
                </w:p>
              </w:tc>
              <w:tc>
                <w:tcPr>
                  <w:tcW w:w="847" w:type="pct"/>
                  <w:tcBorders>
                    <w:tl2br w:val="nil"/>
                    <w:tr2bl w:val="nil"/>
                  </w:tcBorders>
                  <w:vAlign w:val="center"/>
                </w:tcPr>
                <w:p>
                  <w:pPr>
                    <w:pStyle w:val="27"/>
                    <w:jc w:val="center"/>
                  </w:pPr>
                  <w:r>
                    <w:rPr>
                      <w:rFonts w:hint="eastAsia"/>
                    </w:rPr>
                    <w:t>约5</w:t>
                  </w:r>
                </w:p>
              </w:tc>
              <w:tc>
                <w:tcPr>
                  <w:tcW w:w="732" w:type="pct"/>
                  <w:tcBorders>
                    <w:tl2br w:val="nil"/>
                    <w:tr2bl w:val="nil"/>
                  </w:tcBorders>
                  <w:shd w:val="clear" w:color="auto" w:fill="auto"/>
                  <w:vAlign w:val="center"/>
                </w:tcPr>
                <w:p>
                  <w:pPr>
                    <w:pStyle w:val="27"/>
                    <w:jc w:val="center"/>
                  </w:pPr>
                  <w:r>
                    <w:rPr>
                      <w:rFonts w:hint="eastAsia"/>
                    </w:rPr>
                    <w:t>万块/</w:t>
                  </w:r>
                  <w:r>
                    <w:t>a</w:t>
                  </w:r>
                </w:p>
              </w:tc>
              <w:tc>
                <w:tcPr>
                  <w:tcW w:w="1916" w:type="pct"/>
                  <w:tcBorders>
                    <w:tl2br w:val="nil"/>
                    <w:tr2bl w:val="nil"/>
                  </w:tcBorders>
                  <w:vAlign w:val="center"/>
                </w:tcPr>
                <w:p>
                  <w:pPr>
                    <w:pStyle w:val="27"/>
                    <w:jc w:val="center"/>
                  </w:pPr>
                  <w:r>
                    <w:rPr>
                      <w:rFonts w:hint="eastAsia"/>
                    </w:rPr>
                    <w:t>重晶石粉（4</w:t>
                  </w:r>
                  <w:r>
                    <w:t>000t</w:t>
                  </w:r>
                  <w:r>
                    <w:rPr>
                      <w:rFonts w:hint="eastAsia"/>
                    </w:rPr>
                    <w:t>）、水泥（</w:t>
                  </w:r>
                  <w:r>
                    <w:t>1000t</w:t>
                  </w:r>
                  <w:r>
                    <w:rPr>
                      <w:rFonts w:hint="eastAsia"/>
                    </w:rPr>
                    <w:t>）、水（</w:t>
                  </w:r>
                  <w:r>
                    <w:t>1500t</w:t>
                  </w:r>
                  <w:r>
                    <w:rPr>
                      <w:rFonts w:hint="eastAsia"/>
                    </w:rPr>
                    <w:t>）</w:t>
                  </w:r>
                </w:p>
              </w:tc>
            </w:tr>
          </w:tbl>
          <w:p>
            <w:pPr>
              <w:spacing w:before="163" w:beforeLines="50"/>
              <w:rPr>
                <w:b/>
                <w:szCs w:val="21"/>
              </w:rPr>
            </w:pPr>
            <w:r>
              <w:rPr>
                <w:rFonts w:hint="eastAsia"/>
                <w:b/>
                <w:szCs w:val="21"/>
              </w:rPr>
              <w:t>（四）主要设备清单</w:t>
            </w:r>
          </w:p>
          <w:p>
            <w:pPr>
              <w:adjustRightInd w:val="0"/>
              <w:ind w:firstLine="480" w:firstLineChars="200"/>
              <w:rPr>
                <w:szCs w:val="21"/>
              </w:rPr>
            </w:pPr>
            <w:r>
              <w:rPr>
                <w:rFonts w:hint="eastAsia"/>
                <w:szCs w:val="21"/>
              </w:rPr>
              <w:t>根据建设单位提供的资料，本</w:t>
            </w:r>
            <w:r>
              <w:rPr>
                <w:szCs w:val="21"/>
              </w:rPr>
              <w:t>项目主要设备详见下表2-3。</w:t>
            </w:r>
          </w:p>
          <w:p>
            <w:pPr>
              <w:pStyle w:val="28"/>
            </w:pPr>
            <w:r>
              <w:t>表2</w:t>
            </w:r>
            <w:r>
              <w:rPr>
                <w:rFonts w:hint="eastAsia"/>
              </w:rPr>
              <w:t>-</w:t>
            </w:r>
            <w:r>
              <w:t xml:space="preserve">3 </w:t>
            </w:r>
            <w:r>
              <w:rPr>
                <w:rFonts w:hint="eastAsia"/>
                <w:lang w:val="en-US"/>
              </w:rPr>
              <w:t xml:space="preserve"> </w:t>
            </w:r>
            <w:r>
              <w:t>项目主要设备一览表</w:t>
            </w:r>
          </w:p>
          <w:tbl>
            <w:tblPr>
              <w:tblStyle w:val="20"/>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69"/>
              <w:gridCol w:w="2161"/>
              <w:gridCol w:w="1154"/>
              <w:gridCol w:w="109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bookmarkStart w:id="3" w:name="_Hlk95835694"/>
                  <w:r>
                    <w:rPr>
                      <w:rFonts w:hint="eastAsia"/>
                    </w:rPr>
                    <w:t>序号</w:t>
                  </w:r>
                </w:p>
              </w:tc>
              <w:tc>
                <w:tcPr>
                  <w:tcW w:w="1719" w:type="pct"/>
                  <w:tcBorders>
                    <w:tl2br w:val="nil"/>
                    <w:tr2bl w:val="nil"/>
                  </w:tcBorders>
                  <w:vAlign w:val="center"/>
                </w:tcPr>
                <w:p>
                  <w:pPr>
                    <w:pStyle w:val="27"/>
                    <w:jc w:val="center"/>
                  </w:pPr>
                  <w:r>
                    <w:t>名称</w:t>
                  </w:r>
                </w:p>
              </w:tc>
              <w:tc>
                <w:tcPr>
                  <w:tcW w:w="1392" w:type="pct"/>
                  <w:tcBorders>
                    <w:tl2br w:val="nil"/>
                    <w:tr2bl w:val="nil"/>
                  </w:tcBorders>
                  <w:vAlign w:val="center"/>
                </w:tcPr>
                <w:p>
                  <w:pPr>
                    <w:pStyle w:val="27"/>
                    <w:jc w:val="center"/>
                  </w:pPr>
                  <w:r>
                    <w:t>型号</w:t>
                  </w:r>
                </w:p>
              </w:tc>
              <w:tc>
                <w:tcPr>
                  <w:tcW w:w="743" w:type="pct"/>
                  <w:tcBorders>
                    <w:tl2br w:val="nil"/>
                    <w:tr2bl w:val="nil"/>
                  </w:tcBorders>
                  <w:vAlign w:val="center"/>
                </w:tcPr>
                <w:p>
                  <w:pPr>
                    <w:pStyle w:val="27"/>
                    <w:jc w:val="center"/>
                  </w:pPr>
                  <w:r>
                    <w:rPr>
                      <w:rFonts w:hint="eastAsia"/>
                    </w:rPr>
                    <w:t>数量</w:t>
                  </w:r>
                </w:p>
              </w:tc>
              <w:tc>
                <w:tcPr>
                  <w:tcW w:w="707" w:type="pct"/>
                  <w:tcBorders>
                    <w:tl2br w:val="nil"/>
                    <w:tr2bl w:val="nil"/>
                  </w:tcBorders>
                  <w:vAlign w:val="center"/>
                </w:tcPr>
                <w:p>
                  <w:pPr>
                    <w:pStyle w:val="27"/>
                    <w:jc w:val="center"/>
                  </w:pPr>
                  <w:r>
                    <w:rPr>
                      <w:rFonts w:hint="eastAsia"/>
                    </w:rPr>
                    <w:t>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1</w:t>
                  </w:r>
                </w:p>
              </w:tc>
              <w:tc>
                <w:tcPr>
                  <w:tcW w:w="1719" w:type="pct"/>
                  <w:tcBorders>
                    <w:tl2br w:val="nil"/>
                    <w:tr2bl w:val="nil"/>
                  </w:tcBorders>
                  <w:vAlign w:val="center"/>
                </w:tcPr>
                <w:p>
                  <w:pPr>
                    <w:pStyle w:val="27"/>
                    <w:jc w:val="center"/>
                    <w:rPr>
                      <w:rFonts w:cs="Times New Roman"/>
                    </w:rPr>
                  </w:pPr>
                  <w:r>
                    <w:rPr>
                      <w:rFonts w:hint="eastAsia" w:cs="Times New Roman"/>
                    </w:rPr>
                    <w:t>给料机</w:t>
                  </w:r>
                </w:p>
              </w:tc>
              <w:tc>
                <w:tcPr>
                  <w:tcW w:w="1392" w:type="pct"/>
                  <w:tcBorders>
                    <w:tl2br w:val="nil"/>
                    <w:tr2bl w:val="nil"/>
                  </w:tcBorders>
                  <w:vAlign w:val="center"/>
                </w:tcPr>
                <w:p>
                  <w:pPr>
                    <w:pStyle w:val="27"/>
                    <w:jc w:val="center"/>
                    <w:rPr>
                      <w:rFonts w:eastAsia="宋体" w:cs="Times New Roman"/>
                      <w:szCs w:val="21"/>
                    </w:rPr>
                  </w:pPr>
                  <w:r>
                    <w:rPr>
                      <w:rFonts w:hint="eastAsia" w:eastAsia="宋体" w:cs="Times New Roman"/>
                      <w:szCs w:val="21"/>
                    </w:rPr>
                    <w:t>/</w:t>
                  </w:r>
                </w:p>
              </w:tc>
              <w:tc>
                <w:tcPr>
                  <w:tcW w:w="743" w:type="pct"/>
                  <w:tcBorders>
                    <w:tl2br w:val="nil"/>
                    <w:tr2bl w:val="nil"/>
                  </w:tcBorders>
                  <w:vAlign w:val="center"/>
                </w:tcPr>
                <w:p>
                  <w:pPr>
                    <w:pStyle w:val="27"/>
                    <w:jc w:val="center"/>
                    <w:rPr>
                      <w:rFonts w:cs="Times New Roman"/>
                    </w:rPr>
                  </w:pPr>
                  <w:r>
                    <w:rPr>
                      <w:rFonts w:hint="eastAsia" w:cs="Times New Roman"/>
                    </w:rPr>
                    <w:t>1</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2</w:t>
                  </w:r>
                </w:p>
              </w:tc>
              <w:tc>
                <w:tcPr>
                  <w:tcW w:w="1719" w:type="pct"/>
                  <w:tcBorders>
                    <w:tl2br w:val="nil"/>
                    <w:tr2bl w:val="nil"/>
                  </w:tcBorders>
                  <w:vAlign w:val="center"/>
                </w:tcPr>
                <w:p>
                  <w:pPr>
                    <w:pStyle w:val="27"/>
                    <w:jc w:val="center"/>
                  </w:pPr>
                  <w:r>
                    <w:rPr>
                      <w:rFonts w:cs="Times New Roman"/>
                    </w:rPr>
                    <w:t>颚式破碎机</w:t>
                  </w:r>
                </w:p>
              </w:tc>
              <w:tc>
                <w:tcPr>
                  <w:tcW w:w="1392" w:type="pct"/>
                  <w:tcBorders>
                    <w:tl2br w:val="nil"/>
                    <w:tr2bl w:val="nil"/>
                  </w:tcBorders>
                  <w:vAlign w:val="center"/>
                </w:tcPr>
                <w:p>
                  <w:pPr>
                    <w:pStyle w:val="27"/>
                    <w:jc w:val="center"/>
                  </w:pPr>
                  <w:r>
                    <w:rPr>
                      <w:rFonts w:eastAsia="Times New Roman" w:cs="Times New Roman"/>
                      <w:szCs w:val="21"/>
                    </w:rPr>
                    <w:t>PE-</w:t>
                  </w:r>
                  <w:r>
                    <w:rPr>
                      <w:rFonts w:hint="eastAsia" w:cs="Times New Roman"/>
                      <w:szCs w:val="21"/>
                    </w:rPr>
                    <w:t>300</w:t>
                  </w:r>
                  <w:r>
                    <w:rPr>
                      <w:rFonts w:eastAsia="Arial" w:cs="Times New Roman"/>
                      <w:szCs w:val="21"/>
                    </w:rPr>
                    <w:t>×</w:t>
                  </w:r>
                  <w:r>
                    <w:rPr>
                      <w:rFonts w:hint="eastAsia" w:cs="Times New Roman"/>
                      <w:szCs w:val="21"/>
                    </w:rPr>
                    <w:t>75</w:t>
                  </w:r>
                  <w:r>
                    <w:rPr>
                      <w:rFonts w:eastAsia="Arial" w:cs="Times New Roman"/>
                      <w:szCs w:val="21"/>
                    </w:rPr>
                    <w:t>0</w:t>
                  </w:r>
                </w:p>
              </w:tc>
              <w:tc>
                <w:tcPr>
                  <w:tcW w:w="743" w:type="pct"/>
                  <w:tcBorders>
                    <w:tl2br w:val="nil"/>
                    <w:tr2bl w:val="nil"/>
                  </w:tcBorders>
                  <w:vAlign w:val="center"/>
                </w:tcPr>
                <w:p>
                  <w:pPr>
                    <w:pStyle w:val="27"/>
                    <w:jc w:val="center"/>
                  </w:pPr>
                  <w:r>
                    <w:rPr>
                      <w:rFonts w:hint="eastAsia" w:cs="Times New Roman"/>
                    </w:rPr>
                    <w:t>2</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3</w:t>
                  </w:r>
                </w:p>
              </w:tc>
              <w:tc>
                <w:tcPr>
                  <w:tcW w:w="1719" w:type="pct"/>
                  <w:tcBorders>
                    <w:tl2br w:val="nil"/>
                    <w:tr2bl w:val="nil"/>
                  </w:tcBorders>
                  <w:vAlign w:val="center"/>
                </w:tcPr>
                <w:p>
                  <w:pPr>
                    <w:pStyle w:val="27"/>
                    <w:jc w:val="center"/>
                  </w:pPr>
                  <w:r>
                    <w:rPr>
                      <w:rFonts w:cs="Times New Roman"/>
                    </w:rPr>
                    <w:t>雷蒙磨粉机</w:t>
                  </w:r>
                </w:p>
              </w:tc>
              <w:tc>
                <w:tcPr>
                  <w:tcW w:w="1392" w:type="pct"/>
                  <w:tcBorders>
                    <w:tl2br w:val="nil"/>
                    <w:tr2bl w:val="nil"/>
                  </w:tcBorders>
                  <w:vAlign w:val="center"/>
                </w:tcPr>
                <w:p>
                  <w:pPr>
                    <w:pStyle w:val="27"/>
                    <w:jc w:val="center"/>
                  </w:pPr>
                  <w:r>
                    <w:rPr>
                      <w:rFonts w:cs="Times New Roman"/>
                    </w:rPr>
                    <w:t>4R</w:t>
                  </w:r>
                </w:p>
              </w:tc>
              <w:tc>
                <w:tcPr>
                  <w:tcW w:w="743" w:type="pct"/>
                  <w:tcBorders>
                    <w:tl2br w:val="nil"/>
                    <w:tr2bl w:val="nil"/>
                  </w:tcBorders>
                  <w:vAlign w:val="center"/>
                </w:tcPr>
                <w:p>
                  <w:pPr>
                    <w:pStyle w:val="27"/>
                    <w:jc w:val="center"/>
                  </w:pPr>
                  <w:r>
                    <w:rPr>
                      <w:rFonts w:cs="Times New Roman"/>
                    </w:rPr>
                    <w:t>4</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4</w:t>
                  </w:r>
                </w:p>
              </w:tc>
              <w:tc>
                <w:tcPr>
                  <w:tcW w:w="1719" w:type="pct"/>
                  <w:tcBorders>
                    <w:tl2br w:val="nil"/>
                    <w:tr2bl w:val="nil"/>
                  </w:tcBorders>
                  <w:vAlign w:val="center"/>
                </w:tcPr>
                <w:p>
                  <w:pPr>
                    <w:pStyle w:val="27"/>
                    <w:jc w:val="center"/>
                  </w:pPr>
                  <w:r>
                    <w:rPr>
                      <w:rFonts w:cs="Times New Roman"/>
                    </w:rPr>
                    <w:t>化学助剂活化粉机</w:t>
                  </w:r>
                </w:p>
              </w:tc>
              <w:tc>
                <w:tcPr>
                  <w:tcW w:w="1392" w:type="pct"/>
                  <w:tcBorders>
                    <w:tl2br w:val="nil"/>
                    <w:tr2bl w:val="nil"/>
                  </w:tcBorders>
                  <w:vAlign w:val="center"/>
                </w:tcPr>
                <w:p>
                  <w:pPr>
                    <w:pStyle w:val="27"/>
                    <w:jc w:val="center"/>
                  </w:pPr>
                  <w:r>
                    <w:rPr>
                      <w:rFonts w:cs="Times New Roman"/>
                    </w:rPr>
                    <w:t>/</w:t>
                  </w:r>
                </w:p>
              </w:tc>
              <w:tc>
                <w:tcPr>
                  <w:tcW w:w="743" w:type="pct"/>
                  <w:tcBorders>
                    <w:tl2br w:val="nil"/>
                    <w:tr2bl w:val="nil"/>
                  </w:tcBorders>
                  <w:vAlign w:val="center"/>
                </w:tcPr>
                <w:p>
                  <w:pPr>
                    <w:pStyle w:val="27"/>
                    <w:jc w:val="center"/>
                  </w:pPr>
                  <w:r>
                    <w:rPr>
                      <w:rFonts w:cs="Times New Roman"/>
                    </w:rPr>
                    <w:t>1</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5</w:t>
                  </w:r>
                </w:p>
              </w:tc>
              <w:tc>
                <w:tcPr>
                  <w:tcW w:w="1719" w:type="pct"/>
                  <w:tcBorders>
                    <w:tl2br w:val="nil"/>
                    <w:tr2bl w:val="nil"/>
                  </w:tcBorders>
                  <w:vAlign w:val="center"/>
                </w:tcPr>
                <w:p>
                  <w:pPr>
                    <w:pStyle w:val="27"/>
                    <w:jc w:val="center"/>
                  </w:pPr>
                  <w:r>
                    <w:rPr>
                      <w:rFonts w:cs="Times New Roman"/>
                    </w:rPr>
                    <w:t>装载机</w:t>
                  </w:r>
                </w:p>
              </w:tc>
              <w:tc>
                <w:tcPr>
                  <w:tcW w:w="1392" w:type="pct"/>
                  <w:tcBorders>
                    <w:tl2br w:val="nil"/>
                    <w:tr2bl w:val="nil"/>
                  </w:tcBorders>
                  <w:vAlign w:val="center"/>
                </w:tcPr>
                <w:p>
                  <w:pPr>
                    <w:pStyle w:val="27"/>
                    <w:jc w:val="center"/>
                  </w:pPr>
                  <w:r>
                    <w:rPr>
                      <w:rFonts w:cs="Times New Roman"/>
                    </w:rPr>
                    <w:t>50型</w:t>
                  </w:r>
                </w:p>
              </w:tc>
              <w:tc>
                <w:tcPr>
                  <w:tcW w:w="743" w:type="pct"/>
                  <w:tcBorders>
                    <w:tl2br w:val="nil"/>
                    <w:tr2bl w:val="nil"/>
                  </w:tcBorders>
                  <w:vAlign w:val="center"/>
                </w:tcPr>
                <w:p>
                  <w:pPr>
                    <w:pStyle w:val="27"/>
                    <w:jc w:val="center"/>
                  </w:pPr>
                  <w:r>
                    <w:rPr>
                      <w:rFonts w:cs="Times New Roman"/>
                    </w:rPr>
                    <w:t>2</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6</w:t>
                  </w:r>
                </w:p>
              </w:tc>
              <w:tc>
                <w:tcPr>
                  <w:tcW w:w="1719" w:type="pct"/>
                  <w:tcBorders>
                    <w:tl2br w:val="nil"/>
                    <w:tr2bl w:val="nil"/>
                  </w:tcBorders>
                  <w:vAlign w:val="center"/>
                </w:tcPr>
                <w:p>
                  <w:pPr>
                    <w:pStyle w:val="27"/>
                    <w:jc w:val="center"/>
                  </w:pPr>
                  <w:r>
                    <w:rPr>
                      <w:rFonts w:hint="eastAsia" w:cs="Times New Roman"/>
                    </w:rPr>
                    <w:t>筛分机</w:t>
                  </w:r>
                </w:p>
              </w:tc>
              <w:tc>
                <w:tcPr>
                  <w:tcW w:w="1392" w:type="pct"/>
                  <w:tcBorders>
                    <w:tl2br w:val="nil"/>
                    <w:tr2bl w:val="nil"/>
                  </w:tcBorders>
                  <w:vAlign w:val="center"/>
                </w:tcPr>
                <w:p>
                  <w:pPr>
                    <w:pStyle w:val="27"/>
                    <w:jc w:val="center"/>
                  </w:pPr>
                  <w:r>
                    <w:rPr>
                      <w:rFonts w:cs="Times New Roman"/>
                    </w:rPr>
                    <w:t>/</w:t>
                  </w:r>
                </w:p>
              </w:tc>
              <w:tc>
                <w:tcPr>
                  <w:tcW w:w="743" w:type="pct"/>
                  <w:tcBorders>
                    <w:tl2br w:val="nil"/>
                    <w:tr2bl w:val="nil"/>
                  </w:tcBorders>
                  <w:vAlign w:val="center"/>
                </w:tcPr>
                <w:p>
                  <w:pPr>
                    <w:pStyle w:val="27"/>
                    <w:jc w:val="center"/>
                  </w:pPr>
                  <w:r>
                    <w:rPr>
                      <w:rFonts w:cs="Times New Roman"/>
                    </w:rPr>
                    <w:t>2</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7</w:t>
                  </w:r>
                </w:p>
              </w:tc>
              <w:tc>
                <w:tcPr>
                  <w:tcW w:w="1719" w:type="pct"/>
                  <w:tcBorders>
                    <w:tl2br w:val="nil"/>
                    <w:tr2bl w:val="nil"/>
                  </w:tcBorders>
                  <w:vAlign w:val="center"/>
                </w:tcPr>
                <w:p>
                  <w:pPr>
                    <w:pStyle w:val="27"/>
                    <w:jc w:val="center"/>
                  </w:pPr>
                  <w:r>
                    <w:rPr>
                      <w:rFonts w:cs="Times New Roman"/>
                    </w:rPr>
                    <w:t>地磅</w:t>
                  </w:r>
                </w:p>
              </w:tc>
              <w:tc>
                <w:tcPr>
                  <w:tcW w:w="1392" w:type="pct"/>
                  <w:tcBorders>
                    <w:tl2br w:val="nil"/>
                    <w:tr2bl w:val="nil"/>
                  </w:tcBorders>
                  <w:vAlign w:val="center"/>
                </w:tcPr>
                <w:p>
                  <w:pPr>
                    <w:pStyle w:val="27"/>
                    <w:jc w:val="center"/>
                  </w:pPr>
                  <w:r>
                    <w:rPr>
                      <w:rFonts w:cs="Times New Roman"/>
                    </w:rPr>
                    <w:t>/</w:t>
                  </w:r>
                </w:p>
              </w:tc>
              <w:tc>
                <w:tcPr>
                  <w:tcW w:w="743" w:type="pct"/>
                  <w:tcBorders>
                    <w:tl2br w:val="nil"/>
                    <w:tr2bl w:val="nil"/>
                  </w:tcBorders>
                  <w:vAlign w:val="center"/>
                </w:tcPr>
                <w:p>
                  <w:pPr>
                    <w:pStyle w:val="27"/>
                    <w:jc w:val="center"/>
                  </w:pPr>
                  <w:r>
                    <w:rPr>
                      <w:rFonts w:cs="Times New Roman"/>
                    </w:rPr>
                    <w:t>1</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t>8</w:t>
                  </w:r>
                </w:p>
              </w:tc>
              <w:tc>
                <w:tcPr>
                  <w:tcW w:w="1719" w:type="pct"/>
                  <w:tcBorders>
                    <w:tl2br w:val="nil"/>
                    <w:tr2bl w:val="nil"/>
                  </w:tcBorders>
                  <w:vAlign w:val="center"/>
                </w:tcPr>
                <w:p>
                  <w:pPr>
                    <w:pStyle w:val="27"/>
                    <w:jc w:val="center"/>
                  </w:pPr>
                  <w:r>
                    <w:rPr>
                      <w:rFonts w:hint="eastAsia" w:cs="Times New Roman"/>
                    </w:rPr>
                    <w:t>叉车</w:t>
                  </w:r>
                </w:p>
              </w:tc>
              <w:tc>
                <w:tcPr>
                  <w:tcW w:w="1392" w:type="pct"/>
                  <w:tcBorders>
                    <w:tl2br w:val="nil"/>
                    <w:tr2bl w:val="nil"/>
                  </w:tcBorders>
                  <w:vAlign w:val="center"/>
                </w:tcPr>
                <w:p>
                  <w:pPr>
                    <w:pStyle w:val="27"/>
                    <w:jc w:val="center"/>
                  </w:pPr>
                  <w:r>
                    <w:rPr>
                      <w:rFonts w:hint="eastAsia"/>
                    </w:rPr>
                    <w:t>/</w:t>
                  </w:r>
                </w:p>
              </w:tc>
              <w:tc>
                <w:tcPr>
                  <w:tcW w:w="743" w:type="pct"/>
                  <w:tcBorders>
                    <w:tl2br w:val="nil"/>
                    <w:tr2bl w:val="nil"/>
                  </w:tcBorders>
                  <w:vAlign w:val="center"/>
                </w:tcPr>
                <w:p>
                  <w:pPr>
                    <w:pStyle w:val="27"/>
                    <w:jc w:val="center"/>
                  </w:pPr>
                  <w:r>
                    <w:rPr>
                      <w:rFonts w:hint="eastAsia" w:cs="Times New Roman"/>
                    </w:rPr>
                    <w:t>2</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9</w:t>
                  </w:r>
                </w:p>
              </w:tc>
              <w:tc>
                <w:tcPr>
                  <w:tcW w:w="1719" w:type="pct"/>
                  <w:tcBorders>
                    <w:tl2br w:val="nil"/>
                    <w:tr2bl w:val="nil"/>
                  </w:tcBorders>
                  <w:vAlign w:val="center"/>
                </w:tcPr>
                <w:p>
                  <w:pPr>
                    <w:pStyle w:val="27"/>
                    <w:jc w:val="center"/>
                  </w:pPr>
                  <w:r>
                    <w:rPr>
                      <w:rFonts w:hint="eastAsia" w:cs="Times New Roman"/>
                    </w:rPr>
                    <w:t>气锤压力机(防辐射配套)</w:t>
                  </w:r>
                </w:p>
              </w:tc>
              <w:tc>
                <w:tcPr>
                  <w:tcW w:w="1392" w:type="pct"/>
                  <w:tcBorders>
                    <w:tl2br w:val="nil"/>
                    <w:tr2bl w:val="nil"/>
                  </w:tcBorders>
                  <w:vAlign w:val="center"/>
                </w:tcPr>
                <w:p>
                  <w:pPr>
                    <w:pStyle w:val="27"/>
                    <w:jc w:val="center"/>
                  </w:pPr>
                  <w:r>
                    <w:rPr>
                      <w:rFonts w:hint="eastAsia" w:cs="Times New Roman"/>
                    </w:rPr>
                    <w:t>日200块</w:t>
                  </w:r>
                </w:p>
              </w:tc>
              <w:tc>
                <w:tcPr>
                  <w:tcW w:w="743" w:type="pct"/>
                  <w:tcBorders>
                    <w:tl2br w:val="nil"/>
                    <w:tr2bl w:val="nil"/>
                  </w:tcBorders>
                  <w:vAlign w:val="center"/>
                </w:tcPr>
                <w:p>
                  <w:pPr>
                    <w:pStyle w:val="27"/>
                    <w:jc w:val="center"/>
                  </w:pPr>
                  <w:r>
                    <w:rPr>
                      <w:rFonts w:hint="eastAsia" w:cs="Times New Roman"/>
                    </w:rPr>
                    <w:t>1</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1</w:t>
                  </w:r>
                  <w:r>
                    <w:t>0</w:t>
                  </w:r>
                </w:p>
              </w:tc>
              <w:tc>
                <w:tcPr>
                  <w:tcW w:w="1719" w:type="pct"/>
                  <w:tcBorders>
                    <w:tl2br w:val="nil"/>
                    <w:tr2bl w:val="nil"/>
                  </w:tcBorders>
                  <w:vAlign w:val="center"/>
                </w:tcPr>
                <w:p>
                  <w:pPr>
                    <w:pStyle w:val="27"/>
                    <w:jc w:val="center"/>
                    <w:rPr>
                      <w:rFonts w:cs="Times New Roman"/>
                    </w:rPr>
                  </w:pPr>
                  <w:r>
                    <w:rPr>
                      <w:rFonts w:hint="eastAsia" w:cs="Times New Roman"/>
                    </w:rPr>
                    <w:t>水泥筒仓</w:t>
                  </w:r>
                </w:p>
              </w:tc>
              <w:tc>
                <w:tcPr>
                  <w:tcW w:w="1392" w:type="pct"/>
                  <w:tcBorders>
                    <w:tl2br w:val="nil"/>
                    <w:tr2bl w:val="nil"/>
                  </w:tcBorders>
                  <w:vAlign w:val="center"/>
                </w:tcPr>
                <w:p>
                  <w:pPr>
                    <w:pStyle w:val="27"/>
                    <w:jc w:val="center"/>
                    <w:rPr>
                      <w:rFonts w:cs="Times New Roman"/>
                    </w:rPr>
                  </w:pPr>
                  <w:r>
                    <w:rPr>
                      <w:rFonts w:hint="eastAsia" w:cs="Times New Roman"/>
                    </w:rPr>
                    <w:t>5</w:t>
                  </w:r>
                  <w:r>
                    <w:rPr>
                      <w:rFonts w:cs="Times New Roman"/>
                    </w:rPr>
                    <w:t>0m</w:t>
                  </w:r>
                  <w:r>
                    <w:rPr>
                      <w:rFonts w:cs="Times New Roman"/>
                      <w:vertAlign w:val="superscript"/>
                    </w:rPr>
                    <w:t>3</w:t>
                  </w:r>
                </w:p>
              </w:tc>
              <w:tc>
                <w:tcPr>
                  <w:tcW w:w="743" w:type="pct"/>
                  <w:tcBorders>
                    <w:tl2br w:val="nil"/>
                    <w:tr2bl w:val="nil"/>
                  </w:tcBorders>
                  <w:vAlign w:val="center"/>
                </w:tcPr>
                <w:p>
                  <w:pPr>
                    <w:pStyle w:val="27"/>
                    <w:jc w:val="center"/>
                    <w:rPr>
                      <w:rFonts w:cs="Times New Roman"/>
                    </w:rPr>
                  </w:pPr>
                  <w:r>
                    <w:rPr>
                      <w:rFonts w:hint="eastAsia" w:cs="Times New Roman"/>
                    </w:rPr>
                    <w:t>1</w:t>
                  </w:r>
                </w:p>
              </w:tc>
              <w:tc>
                <w:tcPr>
                  <w:tcW w:w="707" w:type="pct"/>
                  <w:tcBorders>
                    <w:tl2br w:val="nil"/>
                    <w:tr2bl w:val="nil"/>
                  </w:tcBorders>
                  <w:vAlign w:val="center"/>
                </w:tcPr>
                <w:p>
                  <w:pPr>
                    <w:pStyle w:val="27"/>
                    <w:jc w:val="center"/>
                  </w:pPr>
                  <w:r>
                    <w:rPr>
                      <w:rFonts w:hint="eastAsia"/>
                    </w:rPr>
                    <w:t>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1</w:t>
                  </w:r>
                  <w:r>
                    <w:t>1</w:t>
                  </w:r>
                </w:p>
              </w:tc>
              <w:tc>
                <w:tcPr>
                  <w:tcW w:w="1719" w:type="pct"/>
                  <w:tcBorders>
                    <w:tl2br w:val="nil"/>
                    <w:tr2bl w:val="nil"/>
                  </w:tcBorders>
                  <w:vAlign w:val="center"/>
                </w:tcPr>
                <w:p>
                  <w:pPr>
                    <w:pStyle w:val="27"/>
                    <w:jc w:val="center"/>
                    <w:rPr>
                      <w:rFonts w:cs="Times New Roman"/>
                    </w:rPr>
                  </w:pPr>
                  <w:r>
                    <w:rPr>
                      <w:rFonts w:hint="eastAsia" w:cs="Times New Roman"/>
                    </w:rPr>
                    <w:t>环保风机（研磨分选）</w:t>
                  </w:r>
                </w:p>
              </w:tc>
              <w:tc>
                <w:tcPr>
                  <w:tcW w:w="1392" w:type="pct"/>
                  <w:tcBorders>
                    <w:tl2br w:val="nil"/>
                    <w:tr2bl w:val="nil"/>
                  </w:tcBorders>
                  <w:vAlign w:val="center"/>
                </w:tcPr>
                <w:p>
                  <w:pPr>
                    <w:pStyle w:val="27"/>
                    <w:jc w:val="center"/>
                    <w:rPr>
                      <w:rFonts w:cs="Times New Roman"/>
                    </w:rPr>
                  </w:pPr>
                  <w:r>
                    <w:rPr>
                      <w:rFonts w:cs="Times New Roman"/>
                    </w:rPr>
                    <w:t>8000</w:t>
                  </w:r>
                  <w:r>
                    <w:rPr>
                      <w:rFonts w:hint="eastAsia" w:cs="Times New Roman"/>
                    </w:rPr>
                    <w:t>m</w:t>
                  </w:r>
                  <w:r>
                    <w:rPr>
                      <w:rFonts w:cs="Times New Roman"/>
                      <w:vertAlign w:val="superscript"/>
                    </w:rPr>
                    <w:t>3</w:t>
                  </w:r>
                  <w:r>
                    <w:rPr>
                      <w:rFonts w:cs="Times New Roman"/>
                    </w:rPr>
                    <w:t>/h</w:t>
                  </w:r>
                </w:p>
              </w:tc>
              <w:tc>
                <w:tcPr>
                  <w:tcW w:w="743" w:type="pct"/>
                  <w:tcBorders>
                    <w:tl2br w:val="nil"/>
                    <w:tr2bl w:val="nil"/>
                  </w:tcBorders>
                  <w:vAlign w:val="center"/>
                </w:tcPr>
                <w:p>
                  <w:pPr>
                    <w:pStyle w:val="27"/>
                    <w:jc w:val="center"/>
                    <w:rPr>
                      <w:rFonts w:cs="Times New Roman"/>
                    </w:rPr>
                  </w:pPr>
                  <w:r>
                    <w:rPr>
                      <w:rFonts w:hint="eastAsia" w:cs="Times New Roman"/>
                    </w:rPr>
                    <w:t>4</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1</w:t>
                  </w:r>
                  <w:r>
                    <w:t>2</w:t>
                  </w:r>
                </w:p>
              </w:tc>
              <w:tc>
                <w:tcPr>
                  <w:tcW w:w="1719" w:type="pct"/>
                  <w:tcBorders>
                    <w:tl2br w:val="nil"/>
                    <w:tr2bl w:val="nil"/>
                  </w:tcBorders>
                  <w:vAlign w:val="center"/>
                </w:tcPr>
                <w:p>
                  <w:pPr>
                    <w:pStyle w:val="27"/>
                    <w:jc w:val="center"/>
                    <w:rPr>
                      <w:rFonts w:cs="Times New Roman"/>
                    </w:rPr>
                  </w:pPr>
                  <w:r>
                    <w:rPr>
                      <w:rFonts w:hint="eastAsia" w:cs="Times New Roman"/>
                    </w:rPr>
                    <w:t>环保风机（破碎筛分）</w:t>
                  </w:r>
                </w:p>
              </w:tc>
              <w:tc>
                <w:tcPr>
                  <w:tcW w:w="1392" w:type="pct"/>
                  <w:tcBorders>
                    <w:tl2br w:val="nil"/>
                    <w:tr2bl w:val="nil"/>
                  </w:tcBorders>
                  <w:vAlign w:val="center"/>
                </w:tcPr>
                <w:p>
                  <w:pPr>
                    <w:pStyle w:val="27"/>
                    <w:jc w:val="center"/>
                    <w:rPr>
                      <w:rFonts w:cs="Times New Roman"/>
                    </w:rPr>
                  </w:pPr>
                  <w:r>
                    <w:rPr>
                      <w:rFonts w:cs="Times New Roman"/>
                    </w:rPr>
                    <w:t>15000</w:t>
                  </w:r>
                  <w:r>
                    <w:rPr>
                      <w:rFonts w:hint="eastAsia" w:cs="Times New Roman"/>
                    </w:rPr>
                    <w:t xml:space="preserve"> m</w:t>
                  </w:r>
                  <w:r>
                    <w:rPr>
                      <w:rFonts w:cs="Times New Roman"/>
                      <w:vertAlign w:val="superscript"/>
                    </w:rPr>
                    <w:t>3</w:t>
                  </w:r>
                  <w:r>
                    <w:rPr>
                      <w:rFonts w:cs="Times New Roman"/>
                    </w:rPr>
                    <w:t>/h</w:t>
                  </w:r>
                </w:p>
              </w:tc>
              <w:tc>
                <w:tcPr>
                  <w:tcW w:w="743" w:type="pct"/>
                  <w:tcBorders>
                    <w:tl2br w:val="nil"/>
                    <w:tr2bl w:val="nil"/>
                  </w:tcBorders>
                  <w:vAlign w:val="center"/>
                </w:tcPr>
                <w:p>
                  <w:pPr>
                    <w:pStyle w:val="27"/>
                    <w:jc w:val="center"/>
                    <w:rPr>
                      <w:rFonts w:cs="Times New Roman"/>
                    </w:rPr>
                  </w:pPr>
                  <w:r>
                    <w:rPr>
                      <w:rFonts w:hint="eastAsia" w:cs="Times New Roman"/>
                    </w:rPr>
                    <w:t>1</w:t>
                  </w:r>
                </w:p>
              </w:tc>
              <w:tc>
                <w:tcPr>
                  <w:tcW w:w="707" w:type="pct"/>
                  <w:tcBorders>
                    <w:tl2br w:val="nil"/>
                    <w:tr2bl w:val="nil"/>
                  </w:tcBorders>
                  <w:vAlign w:val="center"/>
                </w:tcPr>
                <w:p>
                  <w:pPr>
                    <w:pStyle w:val="27"/>
                    <w:jc w:val="center"/>
                  </w:pPr>
                  <w:r>
                    <w:rPr>
                      <w:rFonts w:hint="eastAsia"/>
                    </w:rPr>
                    <w:t>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1</w:t>
                  </w:r>
                  <w:r>
                    <w:t>3</w:t>
                  </w:r>
                </w:p>
              </w:tc>
              <w:tc>
                <w:tcPr>
                  <w:tcW w:w="1719" w:type="pct"/>
                  <w:tcBorders>
                    <w:tl2br w:val="nil"/>
                    <w:tr2bl w:val="nil"/>
                  </w:tcBorders>
                  <w:vAlign w:val="center"/>
                </w:tcPr>
                <w:p>
                  <w:pPr>
                    <w:pStyle w:val="27"/>
                    <w:jc w:val="center"/>
                    <w:rPr>
                      <w:rFonts w:cs="Times New Roman"/>
                    </w:rPr>
                  </w:pPr>
                  <w:r>
                    <w:rPr>
                      <w:rFonts w:hint="eastAsia" w:cs="Times New Roman"/>
                    </w:rPr>
                    <w:t>沉淀池</w:t>
                  </w:r>
                </w:p>
              </w:tc>
              <w:tc>
                <w:tcPr>
                  <w:tcW w:w="1392" w:type="pct"/>
                  <w:tcBorders>
                    <w:tl2br w:val="nil"/>
                    <w:tr2bl w:val="nil"/>
                  </w:tcBorders>
                  <w:vAlign w:val="center"/>
                </w:tcPr>
                <w:p>
                  <w:pPr>
                    <w:pStyle w:val="27"/>
                    <w:jc w:val="center"/>
                    <w:rPr>
                      <w:rFonts w:cs="Times New Roman"/>
                    </w:rPr>
                  </w:pPr>
                  <w:r>
                    <w:rPr>
                      <w:rFonts w:hint="eastAsia"/>
                      <w:kern w:val="0"/>
                      <w:szCs w:val="24"/>
                    </w:rPr>
                    <w:t>容积</w:t>
                  </w:r>
                  <w:r>
                    <w:rPr>
                      <w:szCs w:val="24"/>
                    </w:rPr>
                    <w:t>5m</w:t>
                  </w:r>
                  <w:r>
                    <w:rPr>
                      <w:szCs w:val="24"/>
                      <w:vertAlign w:val="superscript"/>
                    </w:rPr>
                    <w:t>3</w:t>
                  </w:r>
                </w:p>
              </w:tc>
              <w:tc>
                <w:tcPr>
                  <w:tcW w:w="743" w:type="pct"/>
                  <w:tcBorders>
                    <w:tl2br w:val="nil"/>
                    <w:tr2bl w:val="nil"/>
                  </w:tcBorders>
                  <w:vAlign w:val="center"/>
                </w:tcPr>
                <w:p>
                  <w:pPr>
                    <w:pStyle w:val="27"/>
                    <w:jc w:val="center"/>
                    <w:rPr>
                      <w:rFonts w:cs="Times New Roman"/>
                    </w:rPr>
                  </w:pPr>
                  <w:r>
                    <w:rPr>
                      <w:rFonts w:hint="eastAsia" w:cs="Times New Roman"/>
                    </w:rPr>
                    <w:t>1</w:t>
                  </w:r>
                </w:p>
              </w:tc>
              <w:tc>
                <w:tcPr>
                  <w:tcW w:w="707" w:type="pct"/>
                  <w:tcBorders>
                    <w:tl2br w:val="nil"/>
                    <w:tr2bl w:val="nil"/>
                  </w:tcBorders>
                  <w:vAlign w:val="center"/>
                </w:tcPr>
                <w:p>
                  <w:pPr>
                    <w:pStyle w:val="27"/>
                    <w:jc w:val="center"/>
                  </w:pPr>
                  <w:r>
                    <w:rPr>
                      <w:rFonts w:hint="eastAsia"/>
                    </w:rPr>
                    <w:t>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tl2br w:val="nil"/>
                    <w:tr2bl w:val="nil"/>
                  </w:tcBorders>
                </w:tcPr>
                <w:p>
                  <w:pPr>
                    <w:pStyle w:val="27"/>
                    <w:jc w:val="center"/>
                  </w:pPr>
                  <w:r>
                    <w:rPr>
                      <w:rFonts w:hint="eastAsia"/>
                    </w:rPr>
                    <w:t>14</w:t>
                  </w:r>
                </w:p>
              </w:tc>
              <w:tc>
                <w:tcPr>
                  <w:tcW w:w="1719" w:type="pct"/>
                  <w:tcBorders>
                    <w:tl2br w:val="nil"/>
                    <w:tr2bl w:val="nil"/>
                  </w:tcBorders>
                  <w:vAlign w:val="center"/>
                </w:tcPr>
                <w:p>
                  <w:pPr>
                    <w:pStyle w:val="27"/>
                    <w:jc w:val="center"/>
                    <w:rPr>
                      <w:rFonts w:cs="Times New Roman"/>
                    </w:rPr>
                  </w:pPr>
                  <w:r>
                    <w:rPr>
                      <w:rFonts w:hint="eastAsia" w:cs="Times New Roman"/>
                    </w:rPr>
                    <w:t>化粪池</w:t>
                  </w:r>
                </w:p>
              </w:tc>
              <w:tc>
                <w:tcPr>
                  <w:tcW w:w="1392" w:type="pct"/>
                  <w:tcBorders>
                    <w:tl2br w:val="nil"/>
                    <w:tr2bl w:val="nil"/>
                  </w:tcBorders>
                  <w:vAlign w:val="center"/>
                </w:tcPr>
                <w:p>
                  <w:pPr>
                    <w:pStyle w:val="27"/>
                    <w:jc w:val="center"/>
                    <w:rPr>
                      <w:rFonts w:cs="Times New Roman"/>
                    </w:rPr>
                  </w:pPr>
                  <w:r>
                    <w:rPr>
                      <w:rFonts w:hint="eastAsia"/>
                      <w:kern w:val="0"/>
                      <w:szCs w:val="24"/>
                    </w:rPr>
                    <w:t>容积</w:t>
                  </w:r>
                  <w:r>
                    <w:rPr>
                      <w:rFonts w:hint="eastAsia" w:cs="Times New Roman"/>
                    </w:rPr>
                    <w:t>2</w:t>
                  </w:r>
                  <w:r>
                    <w:rPr>
                      <w:rFonts w:cs="Times New Roman"/>
                    </w:rPr>
                    <w:t>0</w:t>
                  </w:r>
                  <w:r>
                    <w:rPr>
                      <w:szCs w:val="24"/>
                    </w:rPr>
                    <w:t>m</w:t>
                  </w:r>
                  <w:r>
                    <w:rPr>
                      <w:szCs w:val="24"/>
                      <w:vertAlign w:val="superscript"/>
                    </w:rPr>
                    <w:t>3</w:t>
                  </w:r>
                </w:p>
              </w:tc>
              <w:tc>
                <w:tcPr>
                  <w:tcW w:w="743" w:type="pct"/>
                  <w:tcBorders>
                    <w:tl2br w:val="nil"/>
                    <w:tr2bl w:val="nil"/>
                  </w:tcBorders>
                  <w:vAlign w:val="center"/>
                </w:tcPr>
                <w:p>
                  <w:pPr>
                    <w:pStyle w:val="27"/>
                    <w:jc w:val="center"/>
                    <w:rPr>
                      <w:rFonts w:cs="Times New Roman"/>
                    </w:rPr>
                  </w:pPr>
                  <w:r>
                    <w:rPr>
                      <w:rFonts w:hint="eastAsia" w:cs="Times New Roman"/>
                    </w:rPr>
                    <w:t>1</w:t>
                  </w:r>
                </w:p>
              </w:tc>
              <w:tc>
                <w:tcPr>
                  <w:tcW w:w="707" w:type="pct"/>
                  <w:tcBorders>
                    <w:tl2br w:val="nil"/>
                    <w:tr2bl w:val="nil"/>
                  </w:tcBorders>
                  <w:vAlign w:val="center"/>
                </w:tcPr>
                <w:p>
                  <w:pPr>
                    <w:pStyle w:val="27"/>
                    <w:jc w:val="center"/>
                  </w:pPr>
                  <w:r>
                    <w:rPr>
                      <w:rFonts w:hint="eastAsia"/>
                    </w:rPr>
                    <w:t>座</w:t>
                  </w:r>
                </w:p>
              </w:tc>
            </w:tr>
            <w:bookmarkEnd w:id="3"/>
          </w:tbl>
          <w:p>
            <w:pPr>
              <w:spacing w:before="163" w:beforeLines="50"/>
              <w:rPr>
                <w:b/>
                <w:szCs w:val="21"/>
                <w:lang w:val="zh-CN"/>
              </w:rPr>
            </w:pPr>
            <w:r>
              <w:rPr>
                <w:rFonts w:hint="eastAsia"/>
                <w:b/>
                <w:szCs w:val="21"/>
              </w:rPr>
              <w:t>（五）原辅材料及</w:t>
            </w:r>
            <w:r>
              <w:rPr>
                <w:rFonts w:hint="eastAsia"/>
                <w:b/>
                <w:szCs w:val="21"/>
                <w:lang w:val="zh-CN"/>
              </w:rPr>
              <w:t>能源</w:t>
            </w:r>
          </w:p>
          <w:p>
            <w:pPr>
              <w:adjustRightInd w:val="0"/>
              <w:ind w:firstLine="480" w:firstLineChars="200"/>
              <w:rPr>
                <w:szCs w:val="21"/>
              </w:rPr>
            </w:pPr>
            <w:bookmarkStart w:id="4" w:name="_Hlk79997285"/>
            <w:r>
              <w:rPr>
                <w:szCs w:val="21"/>
              </w:rPr>
              <w:t>项目主要原辅材料及能源消耗见表2-4：</w:t>
            </w:r>
          </w:p>
          <w:p>
            <w:pPr>
              <w:pStyle w:val="28"/>
            </w:pPr>
            <w:r>
              <w:t xml:space="preserve">表2-4 </w:t>
            </w:r>
            <w:r>
              <w:rPr>
                <w:rFonts w:hint="eastAsia"/>
                <w:lang w:val="en-US"/>
              </w:rPr>
              <w:t xml:space="preserve"> </w:t>
            </w:r>
            <w:r>
              <w:t>项目主要原辅材料及能源消耗量表</w:t>
            </w:r>
          </w:p>
          <w:tbl>
            <w:tblPr>
              <w:tblStyle w:val="20"/>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999"/>
              <w:gridCol w:w="1066"/>
              <w:gridCol w:w="979"/>
              <w:gridCol w:w="302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pPr>
                    <w:pStyle w:val="27"/>
                    <w:jc w:val="center"/>
                  </w:pPr>
                  <w:r>
                    <w:t>序号</w:t>
                  </w:r>
                </w:p>
              </w:tc>
              <w:tc>
                <w:tcPr>
                  <w:tcW w:w="1288" w:type="pct"/>
                  <w:tcBorders>
                    <w:tl2br w:val="nil"/>
                    <w:tr2bl w:val="nil"/>
                  </w:tcBorders>
                  <w:vAlign w:val="center"/>
                </w:tcPr>
                <w:p>
                  <w:pPr>
                    <w:pStyle w:val="27"/>
                    <w:jc w:val="center"/>
                  </w:pPr>
                  <w:r>
                    <w:t>材料名称</w:t>
                  </w:r>
                </w:p>
              </w:tc>
              <w:tc>
                <w:tcPr>
                  <w:tcW w:w="687" w:type="pct"/>
                  <w:tcBorders>
                    <w:tl2br w:val="nil"/>
                    <w:tr2bl w:val="nil"/>
                  </w:tcBorders>
                  <w:vAlign w:val="center"/>
                </w:tcPr>
                <w:p>
                  <w:pPr>
                    <w:pStyle w:val="27"/>
                    <w:jc w:val="center"/>
                  </w:pPr>
                  <w:r>
                    <w:t>年</w:t>
                  </w:r>
                  <w:r>
                    <w:rPr>
                      <w:rFonts w:hint="eastAsia"/>
                    </w:rPr>
                    <w:t>消耗量</w:t>
                  </w:r>
                </w:p>
              </w:tc>
              <w:tc>
                <w:tcPr>
                  <w:tcW w:w="631" w:type="pct"/>
                  <w:tcBorders>
                    <w:tl2br w:val="nil"/>
                    <w:tr2bl w:val="nil"/>
                  </w:tcBorders>
                  <w:vAlign w:val="center"/>
                </w:tcPr>
                <w:p>
                  <w:pPr>
                    <w:pStyle w:val="27"/>
                    <w:jc w:val="center"/>
                  </w:pPr>
                  <w:r>
                    <w:t>单位</w:t>
                  </w:r>
                </w:p>
              </w:tc>
              <w:tc>
                <w:tcPr>
                  <w:tcW w:w="1947" w:type="pct"/>
                  <w:tcBorders>
                    <w:tl2br w:val="nil"/>
                    <w:tr2bl w:val="nil"/>
                  </w:tcBorders>
                  <w:vAlign w:val="center"/>
                </w:tcPr>
                <w:p>
                  <w:pPr>
                    <w:pStyle w:val="27"/>
                    <w:jc w:val="center"/>
                  </w:pPr>
                  <w:r>
                    <w:t>备注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pPr>
                    <w:pStyle w:val="27"/>
                    <w:jc w:val="center"/>
                  </w:pPr>
                  <w:r>
                    <w:rPr>
                      <w:rFonts w:hint="eastAsia"/>
                    </w:rPr>
                    <w:t>1</w:t>
                  </w:r>
                </w:p>
              </w:tc>
              <w:tc>
                <w:tcPr>
                  <w:tcW w:w="1288" w:type="pct"/>
                  <w:tcBorders>
                    <w:tl2br w:val="nil"/>
                    <w:tr2bl w:val="nil"/>
                  </w:tcBorders>
                  <w:vAlign w:val="center"/>
                </w:tcPr>
                <w:p>
                  <w:pPr>
                    <w:pStyle w:val="27"/>
                    <w:jc w:val="center"/>
                  </w:pPr>
                  <w:r>
                    <w:rPr>
                      <w:rFonts w:hint="eastAsia"/>
                    </w:rPr>
                    <w:t>重晶石矿石</w:t>
                  </w:r>
                </w:p>
              </w:tc>
              <w:tc>
                <w:tcPr>
                  <w:tcW w:w="687" w:type="pct"/>
                  <w:tcBorders>
                    <w:tl2br w:val="nil"/>
                    <w:tr2bl w:val="nil"/>
                  </w:tcBorders>
                  <w:vAlign w:val="center"/>
                </w:tcPr>
                <w:p>
                  <w:pPr>
                    <w:pStyle w:val="27"/>
                    <w:jc w:val="center"/>
                  </w:pPr>
                  <w:r>
                    <w:t>20</w:t>
                  </w:r>
                </w:p>
              </w:tc>
              <w:tc>
                <w:tcPr>
                  <w:tcW w:w="631" w:type="pct"/>
                  <w:tcBorders>
                    <w:tl2br w:val="nil"/>
                    <w:tr2bl w:val="nil"/>
                  </w:tcBorders>
                  <w:vAlign w:val="center"/>
                </w:tcPr>
                <w:p>
                  <w:pPr>
                    <w:pStyle w:val="27"/>
                    <w:jc w:val="center"/>
                  </w:pPr>
                  <w:r>
                    <w:rPr>
                      <w:rFonts w:hint="eastAsia"/>
                    </w:rPr>
                    <w:t>万t/</w:t>
                  </w:r>
                  <w:r>
                    <w:t>a</w:t>
                  </w:r>
                </w:p>
              </w:tc>
              <w:tc>
                <w:tcPr>
                  <w:tcW w:w="1947" w:type="pct"/>
                  <w:tcBorders>
                    <w:tl2br w:val="nil"/>
                    <w:tr2bl w:val="nil"/>
                  </w:tcBorders>
                  <w:vAlign w:val="center"/>
                </w:tcPr>
                <w:p>
                  <w:pPr>
                    <w:pStyle w:val="27"/>
                    <w:jc w:val="center"/>
                  </w:pPr>
                  <w:r>
                    <w:rPr>
                      <w:rFonts w:hint="eastAsia"/>
                    </w:rPr>
                    <w:t>外购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pPr>
                    <w:pStyle w:val="27"/>
                    <w:jc w:val="center"/>
                  </w:pPr>
                  <w:r>
                    <w:rPr>
                      <w:rFonts w:hint="eastAsia"/>
                    </w:rPr>
                    <w:t>2</w:t>
                  </w:r>
                </w:p>
              </w:tc>
              <w:tc>
                <w:tcPr>
                  <w:tcW w:w="1288" w:type="pct"/>
                  <w:tcBorders>
                    <w:tl2br w:val="nil"/>
                    <w:tr2bl w:val="nil"/>
                  </w:tcBorders>
                  <w:vAlign w:val="center"/>
                </w:tcPr>
                <w:p>
                  <w:pPr>
                    <w:pStyle w:val="27"/>
                    <w:jc w:val="center"/>
                  </w:pPr>
                  <w:r>
                    <w:rPr>
                      <w:rFonts w:hint="eastAsia"/>
                    </w:rPr>
                    <w:t>石英石岩矿</w:t>
                  </w:r>
                </w:p>
              </w:tc>
              <w:tc>
                <w:tcPr>
                  <w:tcW w:w="687" w:type="pct"/>
                  <w:tcBorders>
                    <w:tl2br w:val="nil"/>
                    <w:tr2bl w:val="nil"/>
                  </w:tcBorders>
                  <w:vAlign w:val="center"/>
                </w:tcPr>
                <w:p>
                  <w:pPr>
                    <w:pStyle w:val="27"/>
                    <w:jc w:val="center"/>
                  </w:pPr>
                  <w:r>
                    <w:t>10</w:t>
                  </w:r>
                </w:p>
              </w:tc>
              <w:tc>
                <w:tcPr>
                  <w:tcW w:w="631" w:type="pct"/>
                  <w:tcBorders>
                    <w:tl2br w:val="nil"/>
                    <w:tr2bl w:val="nil"/>
                  </w:tcBorders>
                  <w:vAlign w:val="center"/>
                </w:tcPr>
                <w:p>
                  <w:pPr>
                    <w:pStyle w:val="27"/>
                    <w:jc w:val="center"/>
                  </w:pPr>
                  <w:r>
                    <w:rPr>
                      <w:rFonts w:hint="eastAsia"/>
                    </w:rPr>
                    <w:t>万t/</w:t>
                  </w:r>
                  <w:r>
                    <w:t>a</w:t>
                  </w:r>
                </w:p>
              </w:tc>
              <w:tc>
                <w:tcPr>
                  <w:tcW w:w="1947" w:type="pct"/>
                  <w:tcBorders>
                    <w:tl2br w:val="nil"/>
                    <w:tr2bl w:val="nil"/>
                  </w:tcBorders>
                  <w:vAlign w:val="center"/>
                </w:tcPr>
                <w:p>
                  <w:pPr>
                    <w:pStyle w:val="27"/>
                    <w:jc w:val="center"/>
                  </w:pPr>
                  <w:r>
                    <w:rPr>
                      <w:rFonts w:hint="eastAsia"/>
                    </w:rPr>
                    <w:t>外购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pPr>
                    <w:pStyle w:val="27"/>
                    <w:jc w:val="center"/>
                  </w:pPr>
                  <w:r>
                    <w:t>3</w:t>
                  </w:r>
                </w:p>
              </w:tc>
              <w:tc>
                <w:tcPr>
                  <w:tcW w:w="1288" w:type="pct"/>
                  <w:tcBorders>
                    <w:tl2br w:val="nil"/>
                    <w:tr2bl w:val="nil"/>
                  </w:tcBorders>
                  <w:vAlign w:val="center"/>
                </w:tcPr>
                <w:p>
                  <w:pPr>
                    <w:pStyle w:val="27"/>
                    <w:jc w:val="center"/>
                  </w:pPr>
                  <w:r>
                    <w:rPr>
                      <w:rFonts w:hint="eastAsia"/>
                    </w:rPr>
                    <w:t>活化剂</w:t>
                  </w:r>
                </w:p>
              </w:tc>
              <w:tc>
                <w:tcPr>
                  <w:tcW w:w="687" w:type="pct"/>
                  <w:tcBorders>
                    <w:tl2br w:val="nil"/>
                    <w:tr2bl w:val="nil"/>
                  </w:tcBorders>
                  <w:vAlign w:val="center"/>
                </w:tcPr>
                <w:p>
                  <w:pPr>
                    <w:pStyle w:val="27"/>
                    <w:jc w:val="center"/>
                  </w:pPr>
                  <w:r>
                    <w:rPr>
                      <w:rFonts w:hint="eastAsia"/>
                    </w:rPr>
                    <w:t>3</w:t>
                  </w:r>
                </w:p>
              </w:tc>
              <w:tc>
                <w:tcPr>
                  <w:tcW w:w="631" w:type="pct"/>
                  <w:tcBorders>
                    <w:tl2br w:val="nil"/>
                    <w:tr2bl w:val="nil"/>
                  </w:tcBorders>
                  <w:vAlign w:val="center"/>
                </w:tcPr>
                <w:p>
                  <w:pPr>
                    <w:pStyle w:val="27"/>
                    <w:jc w:val="center"/>
                  </w:pPr>
                  <w:r>
                    <w:rPr>
                      <w:rFonts w:hint="eastAsia"/>
                    </w:rPr>
                    <w:t>t/</w:t>
                  </w:r>
                  <w:r>
                    <w:t>a</w:t>
                  </w:r>
                </w:p>
              </w:tc>
              <w:tc>
                <w:tcPr>
                  <w:tcW w:w="1947" w:type="pct"/>
                  <w:tcBorders>
                    <w:tl2br w:val="nil"/>
                    <w:tr2bl w:val="nil"/>
                  </w:tcBorders>
                  <w:vAlign w:val="center"/>
                </w:tcPr>
                <w:p>
                  <w:pPr>
                    <w:pStyle w:val="27"/>
                    <w:jc w:val="center"/>
                  </w:pPr>
                  <w:r>
                    <w:rPr>
                      <w:rFonts w:hint="eastAsia"/>
                    </w:rPr>
                    <w:t>每1万吨活化石粉需添加约1.5吨活化粉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pPr>
                    <w:pStyle w:val="27"/>
                    <w:jc w:val="center"/>
                  </w:pPr>
                  <w:r>
                    <w:t>4</w:t>
                  </w:r>
                </w:p>
              </w:tc>
              <w:tc>
                <w:tcPr>
                  <w:tcW w:w="1288" w:type="pct"/>
                  <w:tcBorders>
                    <w:tl2br w:val="nil"/>
                    <w:tr2bl w:val="nil"/>
                  </w:tcBorders>
                  <w:vAlign w:val="center"/>
                </w:tcPr>
                <w:p>
                  <w:pPr>
                    <w:pStyle w:val="27"/>
                    <w:jc w:val="center"/>
                  </w:pPr>
                  <w:r>
                    <w:rPr>
                      <w:rFonts w:hint="eastAsia"/>
                    </w:rPr>
                    <w:t>水泥</w:t>
                  </w:r>
                </w:p>
              </w:tc>
              <w:tc>
                <w:tcPr>
                  <w:tcW w:w="687" w:type="pct"/>
                  <w:tcBorders>
                    <w:tl2br w:val="nil"/>
                    <w:tr2bl w:val="nil"/>
                  </w:tcBorders>
                  <w:vAlign w:val="center"/>
                </w:tcPr>
                <w:p>
                  <w:pPr>
                    <w:pStyle w:val="27"/>
                    <w:jc w:val="center"/>
                  </w:pPr>
                  <w:r>
                    <w:rPr>
                      <w:rFonts w:hint="eastAsia"/>
                    </w:rPr>
                    <w:t>1000</w:t>
                  </w:r>
                </w:p>
              </w:tc>
              <w:tc>
                <w:tcPr>
                  <w:tcW w:w="631" w:type="pct"/>
                  <w:tcBorders>
                    <w:tl2br w:val="nil"/>
                    <w:tr2bl w:val="nil"/>
                  </w:tcBorders>
                  <w:vAlign w:val="center"/>
                </w:tcPr>
                <w:p>
                  <w:pPr>
                    <w:pStyle w:val="27"/>
                    <w:jc w:val="center"/>
                  </w:pPr>
                  <w:r>
                    <w:rPr>
                      <w:rFonts w:hint="eastAsia"/>
                    </w:rPr>
                    <w:t>t/</w:t>
                  </w:r>
                  <w:r>
                    <w:t>a</w:t>
                  </w:r>
                </w:p>
              </w:tc>
              <w:tc>
                <w:tcPr>
                  <w:tcW w:w="1947" w:type="pct"/>
                  <w:tcBorders>
                    <w:tl2br w:val="nil"/>
                    <w:tr2bl w:val="nil"/>
                  </w:tcBorders>
                  <w:vAlign w:val="center"/>
                </w:tcPr>
                <w:p>
                  <w:pPr>
                    <w:pStyle w:val="27"/>
                    <w:jc w:val="center"/>
                  </w:pPr>
                  <w:r>
                    <w:rPr>
                      <w:rFonts w:hint="eastAsia"/>
                    </w:rPr>
                    <w:t>外购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pPr>
                    <w:pStyle w:val="27"/>
                    <w:jc w:val="center"/>
                  </w:pPr>
                  <w:r>
                    <w:rPr>
                      <w:rFonts w:hint="eastAsia"/>
                    </w:rPr>
                    <w:t>5</w:t>
                  </w:r>
                </w:p>
              </w:tc>
              <w:tc>
                <w:tcPr>
                  <w:tcW w:w="1288" w:type="pct"/>
                  <w:tcBorders>
                    <w:tl2br w:val="nil"/>
                    <w:tr2bl w:val="nil"/>
                  </w:tcBorders>
                  <w:vAlign w:val="center"/>
                </w:tcPr>
                <w:p>
                  <w:pPr>
                    <w:pStyle w:val="27"/>
                    <w:jc w:val="center"/>
                  </w:pPr>
                  <w:r>
                    <w:rPr>
                      <w:rFonts w:hint="eastAsia"/>
                    </w:rPr>
                    <w:t>水</w:t>
                  </w:r>
                </w:p>
              </w:tc>
              <w:tc>
                <w:tcPr>
                  <w:tcW w:w="687" w:type="pct"/>
                  <w:tcBorders>
                    <w:tl2br w:val="nil"/>
                    <w:tr2bl w:val="nil"/>
                  </w:tcBorders>
                  <w:vAlign w:val="center"/>
                </w:tcPr>
                <w:p>
                  <w:pPr>
                    <w:pStyle w:val="27"/>
                    <w:jc w:val="center"/>
                  </w:pPr>
                  <w:r>
                    <w:t>4542</w:t>
                  </w:r>
                </w:p>
              </w:tc>
              <w:tc>
                <w:tcPr>
                  <w:tcW w:w="631" w:type="pct"/>
                  <w:tcBorders>
                    <w:tl2br w:val="nil"/>
                    <w:tr2bl w:val="nil"/>
                  </w:tcBorders>
                  <w:vAlign w:val="center"/>
                </w:tcPr>
                <w:p>
                  <w:pPr>
                    <w:pStyle w:val="27"/>
                    <w:jc w:val="center"/>
                  </w:pPr>
                  <w:r>
                    <w:rPr>
                      <w:rFonts w:cs="Times New Roman"/>
                    </w:rPr>
                    <w:t>m</w:t>
                  </w:r>
                  <w:r>
                    <w:rPr>
                      <w:rFonts w:cs="Times New Roman"/>
                      <w:vertAlign w:val="superscript"/>
                    </w:rPr>
                    <w:t>3</w:t>
                  </w:r>
                  <w:r>
                    <w:rPr>
                      <w:rFonts w:hint="eastAsia" w:cs="Times New Roman"/>
                    </w:rPr>
                    <w:t>/a</w:t>
                  </w:r>
                </w:p>
              </w:tc>
              <w:tc>
                <w:tcPr>
                  <w:tcW w:w="1947" w:type="pct"/>
                  <w:tcBorders>
                    <w:tl2br w:val="nil"/>
                    <w:tr2bl w:val="nil"/>
                  </w:tcBorders>
                  <w:vAlign w:val="center"/>
                </w:tcPr>
                <w:p>
                  <w:pPr>
                    <w:pStyle w:val="27"/>
                    <w:jc w:val="center"/>
                  </w:pPr>
                  <w:r>
                    <w:rPr>
                      <w:rFonts w:hint="eastAsia"/>
                    </w:rPr>
                    <w:t>由莲花台村供应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pPr>
                    <w:pStyle w:val="27"/>
                    <w:jc w:val="center"/>
                  </w:pPr>
                  <w:r>
                    <w:rPr>
                      <w:rFonts w:hint="eastAsia"/>
                    </w:rPr>
                    <w:t>6</w:t>
                  </w:r>
                </w:p>
              </w:tc>
              <w:tc>
                <w:tcPr>
                  <w:tcW w:w="1288" w:type="pct"/>
                  <w:tcBorders>
                    <w:tl2br w:val="nil"/>
                    <w:tr2bl w:val="nil"/>
                  </w:tcBorders>
                  <w:vAlign w:val="center"/>
                </w:tcPr>
                <w:p>
                  <w:pPr>
                    <w:pStyle w:val="27"/>
                    <w:jc w:val="center"/>
                  </w:pPr>
                  <w:r>
                    <w:rPr>
                      <w:rFonts w:hint="eastAsia"/>
                    </w:rPr>
                    <w:t>电能</w:t>
                  </w:r>
                </w:p>
              </w:tc>
              <w:tc>
                <w:tcPr>
                  <w:tcW w:w="687" w:type="pct"/>
                  <w:tcBorders>
                    <w:tl2br w:val="nil"/>
                    <w:tr2bl w:val="nil"/>
                  </w:tcBorders>
                  <w:vAlign w:val="center"/>
                </w:tcPr>
                <w:p>
                  <w:pPr>
                    <w:pStyle w:val="27"/>
                    <w:jc w:val="center"/>
                  </w:pPr>
                  <w:r>
                    <w:rPr>
                      <w:rFonts w:hint="eastAsia"/>
                    </w:rPr>
                    <w:t>7</w:t>
                  </w:r>
                  <w:r>
                    <w:t>0</w:t>
                  </w:r>
                </w:p>
              </w:tc>
              <w:tc>
                <w:tcPr>
                  <w:tcW w:w="631" w:type="pct"/>
                  <w:tcBorders>
                    <w:tl2br w:val="nil"/>
                    <w:tr2bl w:val="nil"/>
                  </w:tcBorders>
                  <w:vAlign w:val="center"/>
                </w:tcPr>
                <w:p>
                  <w:pPr>
                    <w:pStyle w:val="27"/>
                    <w:jc w:val="center"/>
                  </w:pPr>
                  <w:r>
                    <w:rPr>
                      <w:rFonts w:hint="eastAsia" w:cs="Times New Roman"/>
                    </w:rPr>
                    <w:t>万kw</w:t>
                  </w:r>
                  <w:r>
                    <w:rPr>
                      <w:rFonts w:cs="Times New Roman"/>
                    </w:rPr>
                    <w:t>·h</w:t>
                  </w:r>
                </w:p>
              </w:tc>
              <w:tc>
                <w:tcPr>
                  <w:tcW w:w="1947" w:type="pct"/>
                  <w:tcBorders>
                    <w:tl2br w:val="nil"/>
                    <w:tr2bl w:val="nil"/>
                  </w:tcBorders>
                  <w:vAlign w:val="center"/>
                </w:tcPr>
                <w:p>
                  <w:pPr>
                    <w:pStyle w:val="27"/>
                    <w:jc w:val="center"/>
                  </w:pPr>
                  <w:r>
                    <w:rPr>
                      <w:rFonts w:hint="eastAsia"/>
                    </w:rPr>
                    <w:t>由莲花台村供应</w:t>
                  </w:r>
                </w:p>
              </w:tc>
            </w:tr>
            <w:bookmarkEnd w:id="2"/>
            <w:bookmarkEnd w:id="4"/>
          </w:tbl>
          <w:p>
            <w:pPr>
              <w:rPr>
                <w:b/>
                <w:szCs w:val="21"/>
              </w:rPr>
            </w:pPr>
            <w:r>
              <w:rPr>
                <w:rFonts w:hint="eastAsia"/>
                <w:b/>
                <w:szCs w:val="21"/>
              </w:rPr>
              <w:t>（六）与项目有关的物质简要分析</w:t>
            </w:r>
          </w:p>
          <w:p>
            <w:pPr>
              <w:pStyle w:val="28"/>
              <w:rPr>
                <w:rFonts w:hint="eastAsia"/>
              </w:rPr>
            </w:pPr>
            <w:r>
              <w:rPr>
                <w:rFonts w:hint="eastAsia"/>
              </w:rPr>
              <w:t>表2</w:t>
            </w:r>
            <w:r>
              <w:t xml:space="preserve">-5  </w:t>
            </w:r>
            <w:r>
              <w:rPr>
                <w:rFonts w:hint="eastAsia"/>
              </w:rPr>
              <w:t>原辅料理化性质一览表</w:t>
            </w:r>
          </w:p>
          <w:tbl>
            <w:tblPr>
              <w:tblStyle w:val="21"/>
              <w:tblW w:w="7757" w:type="dxa"/>
              <w:tblInd w:w="0" w:type="dxa"/>
              <w:tblBorders>
                <w:top w:val="single" w:color="auto" w:sz="4" w:space="0"/>
                <w:left w:val="none" w:color="auto" w:sz="4" w:space="0"/>
                <w:bottom w:val="single" w:color="auto" w:sz="4"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5863"/>
              <w:gridCol w:w="655"/>
              <w:gridCol w:w="740"/>
            </w:tblGrid>
            <w:tr>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99" w:type="dxa"/>
                  <w:tcBorders>
                    <w:top w:val="single" w:color="auto" w:sz="4" w:space="0"/>
                    <w:left w:val="nil"/>
                    <w:bottom w:val="single" w:color="auto" w:sz="4" w:space="0"/>
                    <w:right w:val="single" w:color="auto" w:sz="4" w:space="0"/>
                  </w:tcBorders>
                  <w:shd w:val="clear" w:color="auto" w:fill="auto"/>
                  <w:vAlign w:val="center"/>
                </w:tcPr>
                <w:p>
                  <w:pPr>
                    <w:pStyle w:val="16"/>
                    <w:autoSpaceDE w:val="0"/>
                    <w:autoSpaceDN w:val="0"/>
                    <w:spacing w:before="0" w:beforeAutospacing="0" w:after="0" w:afterAutospacing="0"/>
                    <w:jc w:val="center"/>
                    <w:rPr>
                      <w:szCs w:val="21"/>
                    </w:rPr>
                  </w:pPr>
                  <w:r>
                    <w:rPr>
                      <w:rFonts w:hint="eastAsia" w:ascii="Times New Roman" w:hAnsi="Times New Roman" w:cs="宋体"/>
                      <w:b/>
                      <w:sz w:val="21"/>
                      <w:szCs w:val="21"/>
                      <w:lang w:bidi="ar"/>
                    </w:rPr>
                    <w:t>名称</w:t>
                  </w:r>
                </w:p>
              </w:tc>
              <w:tc>
                <w:tcPr>
                  <w:tcW w:w="58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autoSpaceDE w:val="0"/>
                    <w:autoSpaceDN w:val="0"/>
                    <w:spacing w:before="0" w:beforeAutospacing="0" w:after="0" w:afterAutospacing="0"/>
                    <w:jc w:val="center"/>
                    <w:rPr>
                      <w:szCs w:val="21"/>
                    </w:rPr>
                  </w:pPr>
                  <w:r>
                    <w:rPr>
                      <w:rFonts w:hint="eastAsia" w:ascii="Times New Roman" w:hAnsi="Times New Roman" w:cs="宋体"/>
                      <w:b/>
                      <w:sz w:val="21"/>
                      <w:szCs w:val="21"/>
                      <w:lang w:bidi="ar"/>
                    </w:rPr>
                    <w:t>理化性质</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autoSpaceDE w:val="0"/>
                    <w:autoSpaceDN w:val="0"/>
                    <w:spacing w:before="0" w:beforeAutospacing="0" w:after="0" w:afterAutospacing="0"/>
                    <w:jc w:val="center"/>
                    <w:rPr>
                      <w:szCs w:val="21"/>
                    </w:rPr>
                  </w:pPr>
                  <w:r>
                    <w:rPr>
                      <w:rFonts w:hint="eastAsia" w:ascii="Times New Roman" w:hAnsi="Times New Roman" w:cs="宋体"/>
                      <w:b/>
                      <w:sz w:val="21"/>
                      <w:szCs w:val="21"/>
                      <w:lang w:bidi="ar"/>
                    </w:rPr>
                    <w:t>危险特性</w:t>
                  </w:r>
                </w:p>
              </w:tc>
              <w:tc>
                <w:tcPr>
                  <w:tcW w:w="740" w:type="dxa"/>
                  <w:tcBorders>
                    <w:top w:val="single" w:color="auto" w:sz="4" w:space="0"/>
                    <w:left w:val="single" w:color="auto" w:sz="4" w:space="0"/>
                    <w:bottom w:val="single" w:color="auto" w:sz="4" w:space="0"/>
                    <w:right w:val="nil"/>
                  </w:tcBorders>
                  <w:shd w:val="clear" w:color="auto" w:fill="auto"/>
                  <w:vAlign w:val="center"/>
                </w:tcPr>
                <w:p>
                  <w:pPr>
                    <w:pStyle w:val="16"/>
                    <w:autoSpaceDE w:val="0"/>
                    <w:autoSpaceDN w:val="0"/>
                    <w:spacing w:before="0" w:beforeAutospacing="0" w:after="0" w:afterAutospacing="0"/>
                    <w:jc w:val="center"/>
                    <w:rPr>
                      <w:szCs w:val="21"/>
                    </w:rPr>
                  </w:pPr>
                  <w:r>
                    <w:rPr>
                      <w:rFonts w:hint="eastAsia" w:ascii="Times New Roman" w:hAnsi="Times New Roman" w:cs="宋体"/>
                      <w:b/>
                      <w:sz w:val="21"/>
                      <w:szCs w:val="21"/>
                      <w:lang w:bidi="ar"/>
                    </w:rPr>
                    <w:t>毒理特性</w:t>
                  </w:r>
                </w:p>
              </w:tc>
            </w:tr>
            <w:tr>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99" w:type="dxa"/>
                  <w:tcBorders>
                    <w:top w:val="single" w:color="auto" w:sz="4" w:space="0"/>
                    <w:left w:val="nil"/>
                    <w:bottom w:val="single" w:color="auto" w:sz="4" w:space="0"/>
                    <w:right w:val="single" w:color="auto" w:sz="4" w:space="0"/>
                  </w:tcBorders>
                  <w:shd w:val="clear" w:color="auto" w:fill="auto"/>
                  <w:vAlign w:val="center"/>
                </w:tcPr>
                <w:p>
                  <w:pPr>
                    <w:pStyle w:val="66"/>
                    <w:widowControl/>
                  </w:pPr>
                  <w:r>
                    <w:rPr>
                      <w:rFonts w:hint="eastAsia"/>
                    </w:rPr>
                    <w:t>活化粉</w:t>
                  </w:r>
                </w:p>
              </w:tc>
              <w:tc>
                <w:tcPr>
                  <w:tcW w:w="58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6"/>
                    <w:widowControl/>
                  </w:pPr>
                  <w:r>
                    <w:rPr>
                      <w:rFonts w:hint="eastAsia"/>
                    </w:rPr>
                    <w:t>改性粉体的表面改性剂也称作活化剂，可改善重钻井液的流动性，并使其具有抑制增稠的效应，粘度降低，具有良好的动力稳定性，使老化浆上下密度差降低，可减少稀释剂用量。表面改性剂可以分为无机改性剂和有机改性剂两大类。无机改性剂主要指一些无机颜料，通过一些化学反应沉积或镀膜到矿物粉体表面，形成装饰性涂层。有机表面改性剂的种类很多，主要包括偶联剂、表面活性剂、聚合物类以及各种树脂类。</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6"/>
                    <w:widowControl/>
                  </w:pPr>
                  <w:r>
                    <w:rPr>
                      <w:rFonts w:hint="eastAsia"/>
                    </w:rPr>
                    <w:t>/</w:t>
                  </w:r>
                </w:p>
              </w:tc>
              <w:tc>
                <w:tcPr>
                  <w:tcW w:w="740" w:type="dxa"/>
                  <w:tcBorders>
                    <w:top w:val="single" w:color="auto" w:sz="4" w:space="0"/>
                    <w:left w:val="single" w:color="auto" w:sz="4" w:space="0"/>
                    <w:bottom w:val="single" w:color="auto" w:sz="4" w:space="0"/>
                    <w:right w:val="nil"/>
                  </w:tcBorders>
                  <w:shd w:val="clear" w:color="auto" w:fill="auto"/>
                  <w:vAlign w:val="center"/>
                </w:tcPr>
                <w:p>
                  <w:pPr>
                    <w:pStyle w:val="66"/>
                    <w:widowControl/>
                  </w:pPr>
                  <w:r>
                    <w:rPr>
                      <w:rFonts w:hint="eastAsia"/>
                    </w:rPr>
                    <w:t>无毒</w:t>
                  </w:r>
                </w:p>
              </w:tc>
            </w:tr>
            <w:tr>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99" w:type="dxa"/>
                  <w:tcBorders>
                    <w:top w:val="single" w:color="auto" w:sz="4" w:space="0"/>
                    <w:left w:val="nil"/>
                    <w:bottom w:val="single" w:color="auto" w:sz="4" w:space="0"/>
                    <w:right w:val="single" w:color="auto" w:sz="4" w:space="0"/>
                  </w:tcBorders>
                  <w:shd w:val="clear" w:color="auto" w:fill="auto"/>
                  <w:vAlign w:val="center"/>
                </w:tcPr>
                <w:p>
                  <w:pPr>
                    <w:pStyle w:val="66"/>
                    <w:widowControl/>
                  </w:pPr>
                  <w:r>
                    <w:rPr>
                      <w:rFonts w:hint="eastAsia"/>
                    </w:rPr>
                    <w:t>重晶石</w:t>
                  </w:r>
                </w:p>
              </w:tc>
              <w:tc>
                <w:tcPr>
                  <w:tcW w:w="58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6"/>
                    <w:widowControl/>
                    <w:jc w:val="both"/>
                  </w:pPr>
                  <w:r>
                    <w:rPr>
                      <w:rFonts w:hint="eastAsia"/>
                    </w:rPr>
                    <w:t>又称硫酸钡粉，化学组成为BaSO</w:t>
                  </w:r>
                  <w:r>
                    <w:rPr>
                      <w:rFonts w:hint="eastAsia"/>
                      <w:vertAlign w:val="subscript"/>
                    </w:rPr>
                    <w:t>4</w:t>
                  </w:r>
                  <w:r>
                    <w:rPr>
                      <w:rFonts w:hint="eastAsia"/>
                    </w:rPr>
                    <w:t>，晶体属正交晶系的硫酸矿物盐。常呈厚板状或柱状晶体，多为致密块状或板状、粒状集合体。质纯时无色透明，含杂质时被染成各种颜色，条痕白色，玻璃光泽，透明至半透明。具3个方向的完全和中等解理，莫氏硬度3~3.5，比重4.5。</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6"/>
                    <w:widowControl/>
                  </w:pPr>
                  <w:r>
                    <w:rPr>
                      <w:rFonts w:hint="eastAsia"/>
                    </w:rPr>
                    <w:t>/</w:t>
                  </w:r>
                </w:p>
              </w:tc>
              <w:tc>
                <w:tcPr>
                  <w:tcW w:w="740" w:type="dxa"/>
                  <w:tcBorders>
                    <w:top w:val="single" w:color="auto" w:sz="4" w:space="0"/>
                    <w:left w:val="single" w:color="auto" w:sz="4" w:space="0"/>
                    <w:bottom w:val="single" w:color="auto" w:sz="4" w:space="0"/>
                    <w:right w:val="nil"/>
                  </w:tcBorders>
                  <w:shd w:val="clear" w:color="auto" w:fill="auto"/>
                  <w:vAlign w:val="center"/>
                </w:tcPr>
                <w:p>
                  <w:pPr>
                    <w:pStyle w:val="66"/>
                    <w:widowControl/>
                  </w:pPr>
                  <w:r>
                    <w:rPr>
                      <w:rFonts w:hint="eastAsia"/>
                    </w:rPr>
                    <w:t>无毒</w:t>
                  </w:r>
                </w:p>
              </w:tc>
            </w:tr>
          </w:tbl>
          <w:p>
            <w:pPr>
              <w:rPr>
                <w:b/>
                <w:szCs w:val="21"/>
              </w:rPr>
            </w:pPr>
            <w:r>
              <w:rPr>
                <w:rFonts w:hint="eastAsia"/>
                <w:b/>
                <w:szCs w:val="21"/>
              </w:rPr>
              <w:t>（七）</w:t>
            </w:r>
            <w:r>
              <w:rPr>
                <w:rFonts w:hint="eastAsia"/>
                <w:b/>
                <w:szCs w:val="21"/>
                <w:lang w:val="zh-CN"/>
              </w:rPr>
              <w:t>公用工程</w:t>
            </w:r>
          </w:p>
          <w:p>
            <w:pPr>
              <w:ind w:firstLine="480" w:firstLineChars="200"/>
              <w:rPr>
                <w:szCs w:val="21"/>
              </w:rPr>
            </w:pPr>
            <w:r>
              <w:rPr>
                <w:rFonts w:hint="eastAsia"/>
                <w:szCs w:val="21"/>
              </w:rPr>
              <w:t>（1）给水</w:t>
            </w:r>
          </w:p>
          <w:p>
            <w:pPr>
              <w:ind w:firstLine="480" w:firstLineChars="200"/>
              <w:rPr>
                <w:szCs w:val="21"/>
              </w:rPr>
            </w:pPr>
            <w:r>
              <w:rPr>
                <w:rFonts w:hint="eastAsia"/>
                <w:szCs w:val="21"/>
              </w:rPr>
              <w:t>本项目水源由洛河镇莲花台村供应，用水环节包括生产用水、员工生活用水、车辆冲洗用水、道路洒水及绿化用水、堆场喷淋用水、搅拌用水。</w:t>
            </w:r>
          </w:p>
          <w:p>
            <w:pPr>
              <w:ind w:firstLine="480" w:firstLineChars="200"/>
              <w:rPr>
                <w:szCs w:val="21"/>
              </w:rPr>
            </w:pPr>
            <w:r>
              <w:rPr>
                <w:rFonts w:hint="eastAsia"/>
                <w:szCs w:val="21"/>
              </w:rPr>
              <w:t>①生产用水</w:t>
            </w:r>
          </w:p>
          <w:p>
            <w:pPr>
              <w:ind w:firstLine="480" w:firstLineChars="200"/>
              <w:rPr>
                <w:szCs w:val="21"/>
              </w:rPr>
            </w:pPr>
            <w:r>
              <w:rPr>
                <w:rFonts w:hint="eastAsia"/>
                <w:szCs w:val="21"/>
              </w:rPr>
              <w:t>重晶石粉成品包装前需在其表面喷洒活化粉浆液，根据企业提供的资料，活化粉浆液配置比例约为1:20，本项目活化粉年用量约为3t/a，则配制过程年用水量约为60m</w:t>
            </w:r>
            <w:r>
              <w:rPr>
                <w:rFonts w:hint="eastAsia"/>
                <w:szCs w:val="21"/>
                <w:vertAlign w:val="superscript"/>
              </w:rPr>
              <w:t>3</w:t>
            </w:r>
            <w:r>
              <w:rPr>
                <w:rFonts w:hint="eastAsia"/>
                <w:szCs w:val="21"/>
              </w:rPr>
              <w:t>/a（60t/a)，即0.2m</w:t>
            </w:r>
            <w:r>
              <w:rPr>
                <w:rFonts w:hint="eastAsia"/>
                <w:szCs w:val="21"/>
                <w:vertAlign w:val="superscript"/>
              </w:rPr>
              <w:t>3</w:t>
            </w:r>
            <w:r>
              <w:rPr>
                <w:rFonts w:hint="eastAsia"/>
                <w:szCs w:val="21"/>
              </w:rPr>
              <w:t>/d(0.2t/a)，活化粉浆液用水全部进入产品。</w:t>
            </w:r>
          </w:p>
          <w:p>
            <w:pPr>
              <w:pStyle w:val="19"/>
              <w:spacing w:line="360" w:lineRule="auto"/>
              <w:ind w:firstLine="480"/>
            </w:pPr>
            <w:r>
              <w:rPr>
                <w:rFonts w:hint="eastAsia"/>
              </w:rPr>
              <w:t>②生活用水</w:t>
            </w:r>
          </w:p>
          <w:p>
            <w:pPr>
              <w:pStyle w:val="19"/>
              <w:spacing w:line="360" w:lineRule="auto"/>
              <w:ind w:firstLine="480"/>
            </w:pPr>
            <w:r>
              <w:t>本项目劳动定员20人，</w:t>
            </w:r>
            <w:r>
              <w:rPr>
                <w:rFonts w:hint="eastAsia"/>
              </w:rPr>
              <w:t>员工均为附近居</w:t>
            </w:r>
            <w:r>
              <w:t>民不设食宿。根据《陕西省行业用水定额》（DB61/T943-20</w:t>
            </w:r>
            <w:r>
              <w:rPr>
                <w:rFonts w:hint="eastAsia"/>
              </w:rPr>
              <w:t>20</w:t>
            </w:r>
            <w:r>
              <w:t>），项目员工生活用水定额可按</w:t>
            </w:r>
            <w:r>
              <w:rPr>
                <w:rFonts w:hint="eastAsia"/>
              </w:rPr>
              <w:t>10</w:t>
            </w:r>
            <w:r>
              <w:t>（</w:t>
            </w:r>
            <w:r>
              <w:rPr>
                <w:rFonts w:hint="eastAsia"/>
              </w:rPr>
              <w:t>m</w:t>
            </w:r>
            <w:r>
              <w:rPr>
                <w:rFonts w:hint="eastAsia"/>
                <w:vertAlign w:val="superscript"/>
              </w:rPr>
              <w:t>3</w:t>
            </w:r>
            <w:r>
              <w:t>/</w:t>
            </w:r>
            <w:r>
              <w:rPr>
                <w:rFonts w:hint="eastAsia"/>
              </w:rPr>
              <w:t>a</w:t>
            </w:r>
            <w:r>
              <w:t>·人）计，年用水量为2</w:t>
            </w:r>
            <w:r>
              <w:rPr>
                <w:rFonts w:hint="eastAsia"/>
              </w:rPr>
              <w:t>0</w:t>
            </w:r>
            <w:r>
              <w:t>0m</w:t>
            </w:r>
            <w:r>
              <w:rPr>
                <w:vertAlign w:val="superscript"/>
              </w:rPr>
              <w:t>3</w:t>
            </w:r>
            <w:r>
              <w:t>/</w:t>
            </w:r>
            <w:r>
              <w:rPr>
                <w:rFonts w:hint="eastAsia"/>
              </w:rPr>
              <w:t>a，</w:t>
            </w:r>
            <w:r>
              <w:t>员工生活日用水量为0.</w:t>
            </w:r>
            <w:r>
              <w:rPr>
                <w:rFonts w:hint="eastAsia"/>
              </w:rPr>
              <w:t>6</w:t>
            </w:r>
            <w:r>
              <w:t>7m</w:t>
            </w:r>
            <w:r>
              <w:rPr>
                <w:vertAlign w:val="superscript"/>
              </w:rPr>
              <w:t>3</w:t>
            </w:r>
            <w:r>
              <w:t>/d。</w:t>
            </w:r>
          </w:p>
          <w:p>
            <w:pPr>
              <w:ind w:firstLine="480" w:firstLineChars="200"/>
              <w:rPr>
                <w:szCs w:val="32"/>
              </w:rPr>
            </w:pPr>
            <w:r>
              <w:rPr>
                <w:rFonts w:hint="eastAsia"/>
                <w:szCs w:val="32"/>
              </w:rPr>
              <w:t>③车辆冲洗</w:t>
            </w:r>
          </w:p>
          <w:p>
            <w:pPr>
              <w:ind w:firstLine="480" w:firstLineChars="200"/>
              <w:rPr>
                <w:szCs w:val="32"/>
              </w:rPr>
            </w:pPr>
            <w:r>
              <w:rPr>
                <w:szCs w:val="32"/>
              </w:rPr>
              <w:t>运输车辆进出厂区需对车辆进行冲洗，厂区门口设置洗车台，车辆冲洗用水</w:t>
            </w:r>
            <w:r>
              <w:rPr>
                <w:rFonts w:hint="eastAsia"/>
                <w:szCs w:val="32"/>
              </w:rPr>
              <w:t>取</w:t>
            </w:r>
            <w:r>
              <w:rPr>
                <w:szCs w:val="32"/>
              </w:rPr>
              <w:t>0.</w:t>
            </w:r>
            <w:r>
              <w:rPr>
                <w:rFonts w:hint="eastAsia"/>
                <w:szCs w:val="32"/>
              </w:rPr>
              <w:t>1</w:t>
            </w:r>
            <w:r>
              <w:rPr>
                <w:szCs w:val="32"/>
              </w:rPr>
              <w:t>m</w:t>
            </w:r>
            <w:r>
              <w:rPr>
                <w:szCs w:val="32"/>
                <w:vertAlign w:val="superscript"/>
              </w:rPr>
              <w:t>3</w:t>
            </w:r>
            <w:r>
              <w:rPr>
                <w:szCs w:val="32"/>
              </w:rPr>
              <w:t>/辆·次，每天</w:t>
            </w:r>
            <w:r>
              <w:rPr>
                <w:rFonts w:hint="eastAsia"/>
                <w:szCs w:val="32"/>
              </w:rPr>
              <w:t>约</w:t>
            </w:r>
            <w:r>
              <w:rPr>
                <w:szCs w:val="32"/>
              </w:rPr>
              <w:t>清洗</w:t>
            </w:r>
            <w:r>
              <w:rPr>
                <w:rFonts w:hint="eastAsia"/>
                <w:szCs w:val="32"/>
              </w:rPr>
              <w:t>40</w:t>
            </w:r>
            <w:r>
              <w:rPr>
                <w:szCs w:val="32"/>
              </w:rPr>
              <w:t>辆，则日用水量为</w:t>
            </w:r>
            <w:r>
              <w:rPr>
                <w:rFonts w:hint="eastAsia"/>
                <w:szCs w:val="32"/>
              </w:rPr>
              <w:t>4.0</w:t>
            </w:r>
            <w:r>
              <w:rPr>
                <w:szCs w:val="32"/>
              </w:rPr>
              <w:t>m</w:t>
            </w:r>
            <w:r>
              <w:rPr>
                <w:szCs w:val="32"/>
                <w:vertAlign w:val="superscript"/>
              </w:rPr>
              <w:t>3</w:t>
            </w:r>
            <w:r>
              <w:rPr>
                <w:szCs w:val="32"/>
              </w:rPr>
              <w:t>/d</w:t>
            </w:r>
            <w:r>
              <w:rPr>
                <w:rFonts w:hint="eastAsia"/>
                <w:szCs w:val="32"/>
              </w:rPr>
              <w:t>。</w:t>
            </w:r>
          </w:p>
          <w:p>
            <w:pPr>
              <w:ind w:firstLine="480" w:firstLineChars="200"/>
              <w:rPr>
                <w:szCs w:val="32"/>
              </w:rPr>
            </w:pPr>
            <w:r>
              <w:rPr>
                <w:rFonts w:hint="eastAsia"/>
                <w:szCs w:val="32"/>
              </w:rPr>
              <w:t>④地面洒水及绿化用水</w:t>
            </w:r>
          </w:p>
          <w:p>
            <w:pPr>
              <w:ind w:firstLine="480" w:firstLineChars="200"/>
              <w:rPr>
                <w:szCs w:val="32"/>
              </w:rPr>
            </w:pPr>
            <w:r>
              <w:rPr>
                <w:rFonts w:hint="eastAsia"/>
                <w:szCs w:val="32"/>
              </w:rPr>
              <w:t>本项目厂界范围内露天硬化地面面积以9</w:t>
            </w:r>
            <w:r>
              <w:rPr>
                <w:szCs w:val="32"/>
              </w:rPr>
              <w:t>000m</w:t>
            </w:r>
            <w:r>
              <w:rPr>
                <w:szCs w:val="32"/>
                <w:vertAlign w:val="superscript"/>
              </w:rPr>
              <w:t>2</w:t>
            </w:r>
            <w:r>
              <w:rPr>
                <w:rFonts w:hint="eastAsia"/>
                <w:szCs w:val="32"/>
              </w:rPr>
              <w:t>计，绿化面积以1</w:t>
            </w:r>
            <w:r>
              <w:rPr>
                <w:szCs w:val="32"/>
              </w:rPr>
              <w:t>000m</w:t>
            </w:r>
            <w:r>
              <w:rPr>
                <w:szCs w:val="32"/>
                <w:vertAlign w:val="superscript"/>
              </w:rPr>
              <w:t>2</w:t>
            </w:r>
            <w:r>
              <w:rPr>
                <w:rFonts w:hint="eastAsia"/>
                <w:szCs w:val="32"/>
              </w:rPr>
              <w:t>计，</w:t>
            </w:r>
            <w:r>
              <w:rPr>
                <w:szCs w:val="32"/>
              </w:rPr>
              <w:t>本项目</w:t>
            </w:r>
            <w:r>
              <w:rPr>
                <w:rFonts w:hint="eastAsia"/>
                <w:szCs w:val="32"/>
              </w:rPr>
              <w:t>地面洒水及</w:t>
            </w:r>
            <w:r>
              <w:rPr>
                <w:szCs w:val="32"/>
              </w:rPr>
              <w:t>绿化用水按2L/（m</w:t>
            </w:r>
            <w:r>
              <w:rPr>
                <w:szCs w:val="32"/>
                <w:vertAlign w:val="superscript"/>
              </w:rPr>
              <w:t>2</w:t>
            </w:r>
            <w:r>
              <w:rPr>
                <w:szCs w:val="32"/>
              </w:rPr>
              <w:t>·d）计算</w:t>
            </w:r>
            <w:r>
              <w:rPr>
                <w:rFonts w:hint="eastAsia"/>
                <w:szCs w:val="32"/>
              </w:rPr>
              <w:t>，每3天洒1次，年洒水1</w:t>
            </w:r>
            <w:r>
              <w:rPr>
                <w:szCs w:val="32"/>
              </w:rPr>
              <w:t>00</w:t>
            </w:r>
            <w:r>
              <w:rPr>
                <w:rFonts w:hint="eastAsia"/>
                <w:szCs w:val="32"/>
              </w:rPr>
              <w:t>次，则每次洒水量为2</w:t>
            </w:r>
            <w:r>
              <w:rPr>
                <w:szCs w:val="32"/>
              </w:rPr>
              <w:t>0m</w:t>
            </w:r>
            <w:r>
              <w:rPr>
                <w:szCs w:val="32"/>
                <w:vertAlign w:val="superscript"/>
              </w:rPr>
              <w:t>3</w:t>
            </w:r>
            <w:r>
              <w:rPr>
                <w:rFonts w:hint="eastAsia"/>
                <w:szCs w:val="32"/>
              </w:rPr>
              <w:t>/次，道路洒水及绿化用水均自然消耗。</w:t>
            </w:r>
          </w:p>
          <w:p>
            <w:pPr>
              <w:ind w:firstLine="480" w:firstLineChars="200"/>
              <w:rPr>
                <w:szCs w:val="32"/>
              </w:rPr>
            </w:pPr>
            <w:r>
              <w:rPr>
                <w:rFonts w:hint="eastAsia"/>
                <w:szCs w:val="32"/>
              </w:rPr>
              <w:t>⑤堆场、车间喷淋用水</w:t>
            </w:r>
          </w:p>
          <w:p>
            <w:pPr>
              <w:ind w:firstLine="480" w:firstLineChars="200"/>
              <w:rPr>
                <w:szCs w:val="21"/>
              </w:rPr>
            </w:pPr>
            <w:r>
              <w:rPr>
                <w:rFonts w:hint="eastAsia"/>
                <w:szCs w:val="32"/>
              </w:rPr>
              <w:t>本项目堆场、加工车间均为密闭厂房并且顶部配套有喷淋设施，</w:t>
            </w:r>
            <w:r>
              <w:rPr>
                <w:rFonts w:hint="eastAsia"/>
                <w:szCs w:val="21"/>
              </w:rPr>
              <w:t>类比同类型项目，本项目密闭厂房顶部日喷淋量约为</w:t>
            </w:r>
            <w:r>
              <w:rPr>
                <w:szCs w:val="21"/>
              </w:rPr>
              <w:t>2.0m</w:t>
            </w:r>
            <w:r>
              <w:rPr>
                <w:szCs w:val="21"/>
                <w:vertAlign w:val="superscript"/>
              </w:rPr>
              <w:t>3</w:t>
            </w:r>
            <w:r>
              <w:rPr>
                <w:szCs w:val="21"/>
              </w:rPr>
              <w:t>/d</w:t>
            </w:r>
            <w:r>
              <w:rPr>
                <w:rFonts w:hint="eastAsia"/>
                <w:szCs w:val="21"/>
              </w:rPr>
              <w:t>，喷淋用水</w:t>
            </w:r>
            <w:r>
              <w:rPr>
                <w:rFonts w:hint="eastAsia"/>
                <w:szCs w:val="32"/>
              </w:rPr>
              <w:t>自然消耗</w:t>
            </w:r>
            <w:r>
              <w:rPr>
                <w:rFonts w:hint="eastAsia"/>
                <w:szCs w:val="21"/>
              </w:rPr>
              <w:t>。</w:t>
            </w:r>
          </w:p>
          <w:p>
            <w:pPr>
              <w:ind w:firstLine="480" w:firstLineChars="200"/>
              <w:rPr>
                <w:szCs w:val="21"/>
              </w:rPr>
            </w:pPr>
            <w:r>
              <w:rPr>
                <w:rFonts w:hint="eastAsia"/>
                <w:szCs w:val="21"/>
              </w:rPr>
              <w:t>⑥搅拌用水</w:t>
            </w:r>
          </w:p>
          <w:p>
            <w:pPr>
              <w:ind w:firstLine="480" w:firstLineChars="200"/>
              <w:rPr>
                <w:szCs w:val="21"/>
              </w:rPr>
            </w:pPr>
            <w:r>
              <w:rPr>
                <w:rFonts w:hint="eastAsia"/>
                <w:szCs w:val="21"/>
              </w:rPr>
              <w:t>根据企业提供的资料，本项目防辐射预制品生产过程中，物料配比为重晶石粉：水泥：水=</w:t>
            </w:r>
            <w:r>
              <w:rPr>
                <w:szCs w:val="21"/>
              </w:rPr>
              <w:t>4:1:1.5</w:t>
            </w:r>
            <w:r>
              <w:rPr>
                <w:rFonts w:hint="eastAsia"/>
                <w:szCs w:val="21"/>
              </w:rPr>
              <w:t>。本项目用于生产防辐射预制品的重晶石粉为4</w:t>
            </w:r>
            <w:r>
              <w:rPr>
                <w:szCs w:val="21"/>
              </w:rPr>
              <w:t>000t/a</w:t>
            </w:r>
            <w:r>
              <w:rPr>
                <w:rFonts w:hint="eastAsia"/>
                <w:szCs w:val="21"/>
              </w:rPr>
              <w:t>，故搅拌用水量为1</w:t>
            </w:r>
            <w:r>
              <w:rPr>
                <w:szCs w:val="21"/>
              </w:rPr>
              <w:t>500m</w:t>
            </w:r>
            <w:r>
              <w:rPr>
                <w:szCs w:val="21"/>
                <w:vertAlign w:val="superscript"/>
              </w:rPr>
              <w:t>3</w:t>
            </w:r>
            <w:r>
              <w:rPr>
                <w:szCs w:val="21"/>
              </w:rPr>
              <w:t>/a</w:t>
            </w:r>
            <w:r>
              <w:rPr>
                <w:rFonts w:hint="eastAsia"/>
                <w:szCs w:val="21"/>
              </w:rPr>
              <w:t>，即5</w:t>
            </w:r>
            <w:r>
              <w:rPr>
                <w:szCs w:val="21"/>
              </w:rPr>
              <w:t>m</w:t>
            </w:r>
            <w:r>
              <w:rPr>
                <w:szCs w:val="21"/>
                <w:vertAlign w:val="superscript"/>
              </w:rPr>
              <w:t>3</w:t>
            </w:r>
            <w:r>
              <w:rPr>
                <w:szCs w:val="21"/>
              </w:rPr>
              <w:t>/d</w:t>
            </w:r>
            <w:r>
              <w:rPr>
                <w:rFonts w:hint="eastAsia"/>
                <w:szCs w:val="21"/>
              </w:rPr>
              <w:t>，搅拌用水进入产品。</w:t>
            </w:r>
          </w:p>
          <w:p>
            <w:pPr>
              <w:ind w:firstLine="480" w:firstLineChars="200"/>
              <w:rPr>
                <w:szCs w:val="21"/>
              </w:rPr>
            </w:pPr>
            <w:r>
              <w:rPr>
                <w:rFonts w:hint="eastAsia"/>
                <w:szCs w:val="21"/>
              </w:rPr>
              <w:t>（2）</w:t>
            </w:r>
            <w:r>
              <w:rPr>
                <w:szCs w:val="21"/>
              </w:rPr>
              <w:t>排水</w:t>
            </w:r>
          </w:p>
          <w:p>
            <w:pPr>
              <w:ind w:firstLine="480" w:firstLineChars="200"/>
              <w:rPr>
                <w:szCs w:val="21"/>
              </w:rPr>
            </w:pPr>
            <w:r>
              <w:rPr>
                <w:rFonts w:hint="eastAsia"/>
                <w:szCs w:val="21"/>
              </w:rPr>
              <w:t>本项目产生的废水主要为车辆冲洗废水、员工生活污水。</w:t>
            </w:r>
          </w:p>
          <w:p>
            <w:pPr>
              <w:ind w:firstLine="480" w:firstLineChars="200"/>
              <w:rPr>
                <w:szCs w:val="21"/>
              </w:rPr>
            </w:pPr>
            <w:r>
              <w:rPr>
                <w:rFonts w:hint="eastAsia"/>
                <w:szCs w:val="21"/>
              </w:rPr>
              <w:t>1）生产废水</w:t>
            </w:r>
          </w:p>
          <w:p>
            <w:pPr>
              <w:ind w:firstLine="480" w:firstLineChars="200"/>
              <w:rPr>
                <w:szCs w:val="21"/>
              </w:rPr>
            </w:pPr>
            <w:r>
              <w:rPr>
                <w:rFonts w:hint="eastAsia"/>
                <w:szCs w:val="21"/>
              </w:rPr>
              <w:t>活化粉浆液全部进入产品，无生产废水。</w:t>
            </w:r>
          </w:p>
          <w:p>
            <w:pPr>
              <w:ind w:firstLine="480" w:firstLineChars="200"/>
              <w:rPr>
                <w:szCs w:val="21"/>
              </w:rPr>
            </w:pPr>
            <w:r>
              <w:rPr>
                <w:rFonts w:hint="eastAsia"/>
                <w:szCs w:val="21"/>
              </w:rPr>
              <w:t>2）车辆冲洗废水</w:t>
            </w:r>
          </w:p>
          <w:p>
            <w:pPr>
              <w:ind w:firstLine="480" w:firstLineChars="200"/>
              <w:rPr>
                <w:szCs w:val="21"/>
              </w:rPr>
            </w:pPr>
            <w:r>
              <w:rPr>
                <w:szCs w:val="21"/>
              </w:rPr>
              <w:t>车辆冲洗的过程中会有约20%水损耗，本项目冲洗废水日产生量为</w:t>
            </w:r>
            <w:r>
              <w:rPr>
                <w:rFonts w:hint="eastAsia"/>
                <w:szCs w:val="21"/>
              </w:rPr>
              <w:t>3.2</w:t>
            </w:r>
            <w:r>
              <w:rPr>
                <w:szCs w:val="21"/>
              </w:rPr>
              <w:t>m</w:t>
            </w:r>
            <w:r>
              <w:rPr>
                <w:szCs w:val="21"/>
                <w:vertAlign w:val="superscript"/>
              </w:rPr>
              <w:t>3</w:t>
            </w:r>
            <w:r>
              <w:rPr>
                <w:szCs w:val="21"/>
              </w:rPr>
              <w:t>/d</w:t>
            </w:r>
            <w:r>
              <w:rPr>
                <w:rFonts w:hint="eastAsia"/>
                <w:szCs w:val="21"/>
              </w:rPr>
              <w:t>，本项目洗车台应配套建设沉淀池，冲洗废水经沉淀池处理后回用，不外排。即冲洗废水日补充量为0.8m</w:t>
            </w:r>
            <w:r>
              <w:rPr>
                <w:rFonts w:hint="eastAsia"/>
                <w:szCs w:val="21"/>
                <w:vertAlign w:val="superscript"/>
              </w:rPr>
              <w:t>3</w:t>
            </w:r>
            <w:r>
              <w:rPr>
                <w:rFonts w:hint="eastAsia"/>
                <w:szCs w:val="21"/>
              </w:rPr>
              <w:t>/d。</w:t>
            </w:r>
          </w:p>
          <w:p>
            <w:pPr>
              <w:ind w:firstLine="480" w:firstLineChars="200"/>
              <w:rPr>
                <w:szCs w:val="21"/>
              </w:rPr>
            </w:pPr>
            <w:r>
              <w:rPr>
                <w:szCs w:val="21"/>
              </w:rPr>
              <w:t>3</w:t>
            </w:r>
            <w:r>
              <w:rPr>
                <w:rFonts w:hint="eastAsia"/>
                <w:szCs w:val="21"/>
              </w:rPr>
              <w:t>）生活污水</w:t>
            </w:r>
          </w:p>
          <w:p>
            <w:pPr>
              <w:ind w:firstLine="480" w:firstLineChars="200"/>
              <w:rPr>
                <w:szCs w:val="21"/>
              </w:rPr>
            </w:pPr>
            <w:r>
              <w:rPr>
                <w:rFonts w:hint="eastAsia"/>
                <w:szCs w:val="21"/>
              </w:rPr>
              <w:t>生活污水产生量按用水量的80%计算，本项目生活用水量为200m</w:t>
            </w:r>
            <w:r>
              <w:rPr>
                <w:rFonts w:hint="eastAsia"/>
                <w:szCs w:val="21"/>
                <w:vertAlign w:val="superscript"/>
              </w:rPr>
              <w:t>3</w:t>
            </w:r>
            <w:r>
              <w:rPr>
                <w:rFonts w:hint="eastAsia"/>
                <w:szCs w:val="21"/>
              </w:rPr>
              <w:t>/a，则生活污水产生量为160m</w:t>
            </w:r>
            <w:r>
              <w:rPr>
                <w:rFonts w:hint="eastAsia"/>
                <w:szCs w:val="21"/>
                <w:vertAlign w:val="superscript"/>
              </w:rPr>
              <w:t>3</w:t>
            </w:r>
            <w:r>
              <w:rPr>
                <w:rFonts w:hint="eastAsia"/>
                <w:szCs w:val="21"/>
              </w:rPr>
              <w:t>/a，0.53m</w:t>
            </w:r>
            <w:r>
              <w:rPr>
                <w:rFonts w:hint="eastAsia"/>
                <w:szCs w:val="21"/>
                <w:vertAlign w:val="superscript"/>
              </w:rPr>
              <w:t>3</w:t>
            </w:r>
            <w:r>
              <w:rPr>
                <w:rFonts w:hint="eastAsia"/>
                <w:szCs w:val="21"/>
              </w:rPr>
              <w:t>/d。</w:t>
            </w:r>
          </w:p>
          <w:p>
            <w:pPr>
              <w:ind w:firstLine="480" w:firstLineChars="200"/>
              <w:rPr>
                <w:szCs w:val="21"/>
              </w:rPr>
            </w:pPr>
            <w:r>
              <w:rPr>
                <w:rFonts w:hint="eastAsia"/>
                <w:szCs w:val="21"/>
              </w:rPr>
              <w:t>（</w:t>
            </w:r>
            <w:r>
              <w:rPr>
                <w:szCs w:val="21"/>
              </w:rPr>
              <w:t>4</w:t>
            </w:r>
            <w:r>
              <w:rPr>
                <w:rFonts w:hint="eastAsia"/>
                <w:szCs w:val="21"/>
              </w:rPr>
              <w:t>）</w:t>
            </w:r>
            <w:r>
              <w:rPr>
                <w:szCs w:val="21"/>
              </w:rPr>
              <w:t>水平衡</w:t>
            </w:r>
            <w:r>
              <w:rPr>
                <w:rFonts w:hint="eastAsia"/>
                <w:szCs w:val="21"/>
              </w:rPr>
              <w:t>表及水平衡图</w:t>
            </w:r>
          </w:p>
          <w:p>
            <w:pPr>
              <w:snapToGrid w:val="0"/>
              <w:ind w:firstLine="480" w:firstLineChars="200"/>
              <w:rPr>
                <w:kern w:val="0"/>
                <w:szCs w:val="21"/>
              </w:rPr>
            </w:pPr>
            <w:r>
              <w:rPr>
                <w:szCs w:val="21"/>
              </w:rPr>
              <w:t>本</w:t>
            </w:r>
            <w:r>
              <w:rPr>
                <w:kern w:val="0"/>
                <w:szCs w:val="21"/>
              </w:rPr>
              <w:t>项目水用水情况见表2-</w:t>
            </w:r>
            <w:r>
              <w:rPr>
                <w:rFonts w:hint="eastAsia"/>
                <w:kern w:val="0"/>
                <w:szCs w:val="21"/>
              </w:rPr>
              <w:t>5，水平衡图见图2</w:t>
            </w:r>
            <w:r>
              <w:rPr>
                <w:kern w:val="0"/>
                <w:szCs w:val="21"/>
              </w:rPr>
              <w:t>-</w:t>
            </w:r>
            <w:r>
              <w:rPr>
                <w:rFonts w:hint="eastAsia"/>
                <w:kern w:val="0"/>
                <w:szCs w:val="21"/>
              </w:rPr>
              <w:t>1</w:t>
            </w:r>
            <w:r>
              <w:rPr>
                <w:kern w:val="0"/>
                <w:szCs w:val="21"/>
              </w:rPr>
              <w:t>。</w:t>
            </w:r>
          </w:p>
          <w:p>
            <w:pPr>
              <w:pStyle w:val="28"/>
              <w:jc w:val="right"/>
            </w:pPr>
            <w:r>
              <w:t>表2-5 本项目用排水情况一览表</w:t>
            </w:r>
            <w:r>
              <w:rPr>
                <w:rFonts w:hint="eastAsia"/>
              </w:rPr>
              <w:t xml:space="preserve"> </w:t>
            </w:r>
            <w:r>
              <w:t xml:space="preserve">                  m</w:t>
            </w:r>
            <w:r>
              <w:rPr>
                <w:vertAlign w:val="superscript"/>
              </w:rPr>
              <w:t>3</w:t>
            </w:r>
            <w:r>
              <w:t>/</w:t>
            </w:r>
            <w:r>
              <w:rPr>
                <w:rFonts w:hint="eastAsia"/>
                <w:lang w:val="en-US"/>
              </w:rPr>
              <w:t>a</w:t>
            </w:r>
          </w:p>
          <w:tbl>
            <w:tblPr>
              <w:tblStyle w:val="20"/>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83"/>
              <w:gridCol w:w="1019"/>
              <w:gridCol w:w="770"/>
              <w:gridCol w:w="668"/>
              <w:gridCol w:w="772"/>
              <w:gridCol w:w="700"/>
              <w:gridCol w:w="185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9" w:type="pct"/>
                  <w:tcBorders>
                    <w:tl2br w:val="nil"/>
                    <w:tr2bl w:val="nil"/>
                  </w:tcBorders>
                  <w:vAlign w:val="center"/>
                </w:tcPr>
                <w:p>
                  <w:pPr>
                    <w:pStyle w:val="27"/>
                    <w:jc w:val="center"/>
                  </w:pPr>
                  <w:r>
                    <w:rPr>
                      <w:rFonts w:hint="eastAsia"/>
                    </w:rPr>
                    <w:t>名称</w:t>
                  </w:r>
                </w:p>
              </w:tc>
              <w:tc>
                <w:tcPr>
                  <w:tcW w:w="762" w:type="pct"/>
                  <w:tcBorders>
                    <w:tl2br w:val="nil"/>
                    <w:tr2bl w:val="nil"/>
                  </w:tcBorders>
                  <w:vAlign w:val="center"/>
                </w:tcPr>
                <w:p>
                  <w:pPr>
                    <w:pStyle w:val="27"/>
                    <w:jc w:val="center"/>
                  </w:pPr>
                  <w:r>
                    <w:rPr>
                      <w:rFonts w:hint="eastAsia"/>
                    </w:rPr>
                    <w:t>用水量标准</w:t>
                  </w:r>
                </w:p>
              </w:tc>
              <w:tc>
                <w:tcPr>
                  <w:tcW w:w="656" w:type="pct"/>
                  <w:tcBorders>
                    <w:tl2br w:val="nil"/>
                    <w:tr2bl w:val="nil"/>
                  </w:tcBorders>
                  <w:vAlign w:val="center"/>
                </w:tcPr>
                <w:p>
                  <w:pPr>
                    <w:pStyle w:val="27"/>
                    <w:jc w:val="center"/>
                  </w:pPr>
                  <w:r>
                    <w:rPr>
                      <w:rFonts w:hint="eastAsia"/>
                    </w:rPr>
                    <w:t>数量</w:t>
                  </w:r>
                </w:p>
              </w:tc>
              <w:tc>
                <w:tcPr>
                  <w:tcW w:w="496" w:type="pct"/>
                  <w:tcBorders>
                    <w:tl2br w:val="nil"/>
                    <w:tr2bl w:val="nil"/>
                  </w:tcBorders>
                  <w:vAlign w:val="center"/>
                </w:tcPr>
                <w:p>
                  <w:pPr>
                    <w:pStyle w:val="27"/>
                    <w:jc w:val="center"/>
                  </w:pPr>
                  <w:r>
                    <w:rPr>
                      <w:rFonts w:hint="eastAsia"/>
                    </w:rPr>
                    <w:t>用水量</w:t>
                  </w:r>
                </w:p>
              </w:tc>
              <w:tc>
                <w:tcPr>
                  <w:tcW w:w="430" w:type="pct"/>
                  <w:tcBorders>
                    <w:tl2br w:val="nil"/>
                    <w:tr2bl w:val="nil"/>
                  </w:tcBorders>
                  <w:vAlign w:val="center"/>
                </w:tcPr>
                <w:p>
                  <w:pPr>
                    <w:pStyle w:val="27"/>
                    <w:jc w:val="center"/>
                  </w:pPr>
                  <w:r>
                    <w:rPr>
                      <w:rFonts w:hint="eastAsia"/>
                    </w:rPr>
                    <w:t>耗损量</w:t>
                  </w:r>
                </w:p>
              </w:tc>
              <w:tc>
                <w:tcPr>
                  <w:tcW w:w="497" w:type="pct"/>
                  <w:tcBorders>
                    <w:tl2br w:val="nil"/>
                    <w:tr2bl w:val="nil"/>
                  </w:tcBorders>
                  <w:vAlign w:val="center"/>
                </w:tcPr>
                <w:p>
                  <w:pPr>
                    <w:pStyle w:val="27"/>
                    <w:jc w:val="center"/>
                  </w:pPr>
                  <w:r>
                    <w:rPr>
                      <w:rFonts w:hint="eastAsia"/>
                    </w:rPr>
                    <w:t>产生量</w:t>
                  </w:r>
                </w:p>
              </w:tc>
              <w:tc>
                <w:tcPr>
                  <w:tcW w:w="451" w:type="pct"/>
                  <w:tcBorders>
                    <w:tl2br w:val="nil"/>
                    <w:tr2bl w:val="nil"/>
                  </w:tcBorders>
                  <w:vAlign w:val="center"/>
                </w:tcPr>
                <w:p>
                  <w:pPr>
                    <w:pStyle w:val="27"/>
                    <w:jc w:val="center"/>
                  </w:pPr>
                  <w:r>
                    <w:rPr>
                      <w:rFonts w:hint="eastAsia"/>
                    </w:rPr>
                    <w:t>排放量</w:t>
                  </w:r>
                </w:p>
              </w:tc>
              <w:tc>
                <w:tcPr>
                  <w:tcW w:w="1195" w:type="pct"/>
                  <w:tcBorders>
                    <w:tl2br w:val="nil"/>
                    <w:tr2bl w:val="nil"/>
                  </w:tcBorders>
                  <w:vAlign w:val="center"/>
                </w:tcPr>
                <w:p>
                  <w:pPr>
                    <w:pStyle w:val="27"/>
                    <w:jc w:val="center"/>
                  </w:pPr>
                  <w:r>
                    <w:rPr>
                      <w:rFonts w:hint="eastAsia"/>
                    </w:rPr>
                    <w:t>备注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9" w:type="pct"/>
                  <w:tcBorders>
                    <w:tl2br w:val="nil"/>
                    <w:tr2bl w:val="nil"/>
                  </w:tcBorders>
                  <w:vAlign w:val="center"/>
                </w:tcPr>
                <w:p>
                  <w:pPr>
                    <w:pStyle w:val="27"/>
                    <w:jc w:val="center"/>
                  </w:pPr>
                  <w:r>
                    <w:rPr>
                      <w:rFonts w:hint="eastAsia"/>
                    </w:rPr>
                    <w:t>职工生活</w:t>
                  </w:r>
                </w:p>
              </w:tc>
              <w:tc>
                <w:tcPr>
                  <w:tcW w:w="762" w:type="pct"/>
                  <w:tcBorders>
                    <w:tl2br w:val="nil"/>
                    <w:tr2bl w:val="nil"/>
                  </w:tcBorders>
                  <w:vAlign w:val="center"/>
                </w:tcPr>
                <w:p>
                  <w:pPr>
                    <w:pStyle w:val="27"/>
                    <w:jc w:val="center"/>
                    <w:rPr>
                      <w:kern w:val="0"/>
                      <w:lang w:bidi="ar"/>
                    </w:rPr>
                  </w:pPr>
                  <w:r>
                    <w:rPr>
                      <w:rFonts w:hint="eastAsia"/>
                      <w:kern w:val="0"/>
                      <w:lang w:bidi="ar"/>
                    </w:rPr>
                    <w:t>10</w:t>
                  </w:r>
                </w:p>
                <w:p>
                  <w:pPr>
                    <w:pStyle w:val="27"/>
                    <w:jc w:val="center"/>
                    <w:rPr>
                      <w:kern w:val="0"/>
                      <w:lang w:bidi="ar"/>
                    </w:rPr>
                  </w:pPr>
                  <w:r>
                    <w:rPr>
                      <w:rFonts w:hint="eastAsia"/>
                      <w:kern w:val="0"/>
                      <w:lang w:bidi="ar"/>
                    </w:rPr>
                    <w:t>m</w:t>
                  </w:r>
                  <w:r>
                    <w:rPr>
                      <w:rFonts w:hint="eastAsia"/>
                      <w:kern w:val="0"/>
                      <w:vertAlign w:val="superscript"/>
                      <w:lang w:bidi="ar"/>
                    </w:rPr>
                    <w:t>3</w:t>
                  </w:r>
                  <w:r>
                    <w:rPr>
                      <w:rFonts w:hint="eastAsia"/>
                      <w:kern w:val="0"/>
                      <w:lang w:bidi="ar"/>
                    </w:rPr>
                    <w:t>/(人•a)</w:t>
                  </w:r>
                </w:p>
              </w:tc>
              <w:tc>
                <w:tcPr>
                  <w:tcW w:w="656" w:type="pct"/>
                  <w:tcBorders>
                    <w:tl2br w:val="nil"/>
                    <w:tr2bl w:val="nil"/>
                  </w:tcBorders>
                  <w:vAlign w:val="center"/>
                </w:tcPr>
                <w:p>
                  <w:pPr>
                    <w:pStyle w:val="27"/>
                    <w:jc w:val="center"/>
                    <w:rPr>
                      <w:kern w:val="0"/>
                      <w:lang w:bidi="ar"/>
                    </w:rPr>
                  </w:pPr>
                  <w:r>
                    <w:rPr>
                      <w:kern w:val="0"/>
                      <w:lang w:bidi="ar"/>
                    </w:rPr>
                    <w:t>20</w:t>
                  </w:r>
                  <w:r>
                    <w:rPr>
                      <w:rFonts w:hint="eastAsia"/>
                      <w:kern w:val="0"/>
                      <w:lang w:bidi="ar"/>
                    </w:rPr>
                    <w:t>人</w:t>
                  </w:r>
                </w:p>
              </w:tc>
              <w:tc>
                <w:tcPr>
                  <w:tcW w:w="496" w:type="pct"/>
                  <w:tcBorders>
                    <w:tl2br w:val="nil"/>
                    <w:tr2bl w:val="nil"/>
                  </w:tcBorders>
                  <w:vAlign w:val="center"/>
                </w:tcPr>
                <w:p>
                  <w:pPr>
                    <w:pStyle w:val="27"/>
                    <w:jc w:val="center"/>
                  </w:pPr>
                  <w:r>
                    <w:rPr>
                      <w:rFonts w:hint="eastAsia"/>
                    </w:rPr>
                    <w:t>200</w:t>
                  </w:r>
                </w:p>
              </w:tc>
              <w:tc>
                <w:tcPr>
                  <w:tcW w:w="430" w:type="pct"/>
                  <w:tcBorders>
                    <w:tl2br w:val="nil"/>
                    <w:tr2bl w:val="nil"/>
                  </w:tcBorders>
                  <w:vAlign w:val="center"/>
                </w:tcPr>
                <w:p>
                  <w:pPr>
                    <w:pStyle w:val="27"/>
                    <w:jc w:val="center"/>
                  </w:pPr>
                  <w:r>
                    <w:rPr>
                      <w:rFonts w:hint="eastAsia"/>
                    </w:rPr>
                    <w:t>40</w:t>
                  </w:r>
                </w:p>
              </w:tc>
              <w:tc>
                <w:tcPr>
                  <w:tcW w:w="497" w:type="pct"/>
                  <w:tcBorders>
                    <w:tl2br w:val="nil"/>
                    <w:tr2bl w:val="nil"/>
                  </w:tcBorders>
                  <w:vAlign w:val="center"/>
                </w:tcPr>
                <w:p>
                  <w:pPr>
                    <w:pStyle w:val="27"/>
                    <w:jc w:val="center"/>
                  </w:pPr>
                  <w:r>
                    <w:rPr>
                      <w:rFonts w:hint="eastAsia"/>
                    </w:rPr>
                    <w:t>160</w:t>
                  </w:r>
                </w:p>
              </w:tc>
              <w:tc>
                <w:tcPr>
                  <w:tcW w:w="451" w:type="pct"/>
                  <w:tcBorders>
                    <w:tl2br w:val="nil"/>
                    <w:tr2bl w:val="nil"/>
                  </w:tcBorders>
                  <w:vAlign w:val="center"/>
                </w:tcPr>
                <w:p>
                  <w:pPr>
                    <w:pStyle w:val="27"/>
                    <w:jc w:val="center"/>
                  </w:pPr>
                  <w:r>
                    <w:rPr>
                      <w:rFonts w:hint="eastAsia"/>
                      <w:kern w:val="0"/>
                      <w:lang w:bidi="ar"/>
                    </w:rPr>
                    <w:t>0</w:t>
                  </w:r>
                </w:p>
              </w:tc>
              <w:tc>
                <w:tcPr>
                  <w:tcW w:w="1195" w:type="pct"/>
                  <w:tcBorders>
                    <w:tl2br w:val="nil"/>
                    <w:tr2bl w:val="nil"/>
                  </w:tcBorders>
                  <w:vAlign w:val="center"/>
                </w:tcPr>
                <w:p>
                  <w:pPr>
                    <w:pStyle w:val="27"/>
                    <w:jc w:val="center"/>
                    <w:rPr>
                      <w:kern w:val="0"/>
                      <w:lang w:bidi="ar"/>
                    </w:rPr>
                  </w:pPr>
                  <w:r>
                    <w:rPr>
                      <w:rFonts w:hint="eastAsia"/>
                      <w:kern w:val="0"/>
                      <w:lang w:bidi="ar"/>
                    </w:rPr>
                    <w:t>化粪池处理后定期清掏，用作农肥</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9" w:type="pct"/>
                  <w:tcBorders>
                    <w:tl2br w:val="nil"/>
                    <w:tr2bl w:val="nil"/>
                  </w:tcBorders>
                  <w:vAlign w:val="center"/>
                </w:tcPr>
                <w:p>
                  <w:pPr>
                    <w:pStyle w:val="27"/>
                    <w:jc w:val="center"/>
                  </w:pPr>
                  <w:r>
                    <w:rPr>
                      <w:rFonts w:hint="eastAsia"/>
                    </w:rPr>
                    <w:t>车辆冲洗</w:t>
                  </w:r>
                </w:p>
              </w:tc>
              <w:tc>
                <w:tcPr>
                  <w:tcW w:w="762" w:type="pct"/>
                  <w:tcBorders>
                    <w:tl2br w:val="nil"/>
                    <w:tr2bl w:val="nil"/>
                  </w:tcBorders>
                  <w:vAlign w:val="center"/>
                </w:tcPr>
                <w:p>
                  <w:pPr>
                    <w:pStyle w:val="27"/>
                    <w:jc w:val="center"/>
                    <w:rPr>
                      <w:kern w:val="0"/>
                      <w:lang w:bidi="ar"/>
                    </w:rPr>
                  </w:pPr>
                  <w:r>
                    <w:rPr>
                      <w:rFonts w:hint="eastAsia"/>
                      <w:kern w:val="0"/>
                      <w:lang w:bidi="ar"/>
                    </w:rPr>
                    <w:t>0.1m</w:t>
                  </w:r>
                  <w:r>
                    <w:rPr>
                      <w:rFonts w:hint="eastAsia"/>
                      <w:kern w:val="0"/>
                      <w:vertAlign w:val="superscript"/>
                      <w:lang w:bidi="ar"/>
                    </w:rPr>
                    <w:t>3</w:t>
                  </w:r>
                  <w:r>
                    <w:rPr>
                      <w:rFonts w:hint="eastAsia"/>
                      <w:kern w:val="0"/>
                      <w:lang w:bidi="ar"/>
                    </w:rPr>
                    <w:t>/辆</w:t>
                  </w:r>
                </w:p>
              </w:tc>
              <w:tc>
                <w:tcPr>
                  <w:tcW w:w="656" w:type="pct"/>
                  <w:tcBorders>
                    <w:tl2br w:val="nil"/>
                    <w:tr2bl w:val="nil"/>
                  </w:tcBorders>
                  <w:vAlign w:val="center"/>
                </w:tcPr>
                <w:p>
                  <w:pPr>
                    <w:pStyle w:val="27"/>
                    <w:jc w:val="center"/>
                    <w:rPr>
                      <w:kern w:val="0"/>
                      <w:lang w:bidi="ar"/>
                    </w:rPr>
                  </w:pPr>
                  <w:r>
                    <w:rPr>
                      <w:rFonts w:hint="eastAsia"/>
                      <w:kern w:val="0"/>
                      <w:lang w:bidi="ar"/>
                    </w:rPr>
                    <w:t>40辆/d</w:t>
                  </w:r>
                </w:p>
              </w:tc>
              <w:tc>
                <w:tcPr>
                  <w:tcW w:w="496" w:type="pct"/>
                  <w:tcBorders>
                    <w:tl2br w:val="nil"/>
                    <w:tr2bl w:val="nil"/>
                  </w:tcBorders>
                  <w:vAlign w:val="center"/>
                </w:tcPr>
                <w:p>
                  <w:pPr>
                    <w:pStyle w:val="27"/>
                    <w:jc w:val="center"/>
                  </w:pPr>
                  <w:r>
                    <w:rPr>
                      <w:rFonts w:hint="eastAsia"/>
                    </w:rPr>
                    <w:t>1200</w:t>
                  </w:r>
                </w:p>
              </w:tc>
              <w:tc>
                <w:tcPr>
                  <w:tcW w:w="430" w:type="pct"/>
                  <w:tcBorders>
                    <w:tl2br w:val="nil"/>
                    <w:tr2bl w:val="nil"/>
                  </w:tcBorders>
                  <w:vAlign w:val="center"/>
                </w:tcPr>
                <w:p>
                  <w:pPr>
                    <w:pStyle w:val="27"/>
                    <w:jc w:val="center"/>
                  </w:pPr>
                  <w:r>
                    <w:rPr>
                      <w:rFonts w:hint="eastAsia"/>
                    </w:rPr>
                    <w:t>240</w:t>
                  </w:r>
                </w:p>
              </w:tc>
              <w:tc>
                <w:tcPr>
                  <w:tcW w:w="497" w:type="pct"/>
                  <w:tcBorders>
                    <w:tl2br w:val="nil"/>
                    <w:tr2bl w:val="nil"/>
                  </w:tcBorders>
                  <w:vAlign w:val="center"/>
                </w:tcPr>
                <w:p>
                  <w:pPr>
                    <w:pStyle w:val="27"/>
                    <w:jc w:val="center"/>
                  </w:pPr>
                  <w:r>
                    <w:rPr>
                      <w:rFonts w:hint="eastAsia"/>
                    </w:rPr>
                    <w:t>960</w:t>
                  </w:r>
                </w:p>
              </w:tc>
              <w:tc>
                <w:tcPr>
                  <w:tcW w:w="451" w:type="pct"/>
                  <w:tcBorders>
                    <w:tl2br w:val="nil"/>
                    <w:tr2bl w:val="nil"/>
                  </w:tcBorders>
                  <w:vAlign w:val="center"/>
                </w:tcPr>
                <w:p>
                  <w:pPr>
                    <w:pStyle w:val="27"/>
                    <w:jc w:val="center"/>
                  </w:pPr>
                  <w:r>
                    <w:rPr>
                      <w:rFonts w:hint="eastAsia"/>
                      <w:kern w:val="0"/>
                      <w:lang w:bidi="ar"/>
                    </w:rPr>
                    <w:t>0</w:t>
                  </w:r>
                </w:p>
              </w:tc>
              <w:tc>
                <w:tcPr>
                  <w:tcW w:w="1195" w:type="pct"/>
                  <w:tcBorders>
                    <w:tl2br w:val="nil"/>
                    <w:tr2bl w:val="nil"/>
                  </w:tcBorders>
                  <w:vAlign w:val="center"/>
                </w:tcPr>
                <w:p>
                  <w:pPr>
                    <w:pStyle w:val="27"/>
                    <w:jc w:val="center"/>
                    <w:rPr>
                      <w:kern w:val="0"/>
                      <w:lang w:bidi="ar"/>
                    </w:rPr>
                  </w:pPr>
                  <w:r>
                    <w:rPr>
                      <w:rFonts w:hint="eastAsia"/>
                      <w:kern w:val="0"/>
                      <w:lang w:bidi="ar"/>
                    </w:rPr>
                    <w:t>经沉淀池处理后回用于洗车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9" w:type="pct"/>
                  <w:tcBorders>
                    <w:tl2br w:val="nil"/>
                    <w:tr2bl w:val="nil"/>
                  </w:tcBorders>
                  <w:vAlign w:val="center"/>
                </w:tcPr>
                <w:p>
                  <w:pPr>
                    <w:pStyle w:val="27"/>
                    <w:jc w:val="center"/>
                  </w:pPr>
                  <w:r>
                    <w:rPr>
                      <w:rFonts w:hint="eastAsia"/>
                    </w:rPr>
                    <w:t>地面洒水及绿化</w:t>
                  </w:r>
                </w:p>
              </w:tc>
              <w:tc>
                <w:tcPr>
                  <w:tcW w:w="762" w:type="pct"/>
                  <w:tcBorders>
                    <w:tl2br w:val="nil"/>
                    <w:tr2bl w:val="nil"/>
                  </w:tcBorders>
                  <w:vAlign w:val="center"/>
                </w:tcPr>
                <w:p>
                  <w:pPr>
                    <w:pStyle w:val="27"/>
                    <w:jc w:val="center"/>
                    <w:rPr>
                      <w:kern w:val="0"/>
                      <w:lang w:bidi="ar"/>
                    </w:rPr>
                  </w:pPr>
                  <w:r>
                    <w:rPr>
                      <w:rFonts w:hint="eastAsia"/>
                      <w:kern w:val="0"/>
                      <w:lang w:bidi="ar"/>
                    </w:rPr>
                    <w:t>2.0L/（m</w:t>
                  </w:r>
                  <w:r>
                    <w:rPr>
                      <w:rFonts w:hint="eastAsia"/>
                      <w:kern w:val="0"/>
                      <w:vertAlign w:val="superscript"/>
                      <w:lang w:bidi="ar"/>
                    </w:rPr>
                    <w:t>2</w:t>
                  </w:r>
                  <w:r>
                    <w:rPr>
                      <w:rFonts w:hint="eastAsia"/>
                      <w:kern w:val="0"/>
                      <w:lang w:bidi="ar"/>
                    </w:rPr>
                    <w:t>·d）</w:t>
                  </w:r>
                </w:p>
              </w:tc>
              <w:tc>
                <w:tcPr>
                  <w:tcW w:w="656" w:type="pct"/>
                  <w:tcBorders>
                    <w:tl2br w:val="nil"/>
                    <w:tr2bl w:val="nil"/>
                  </w:tcBorders>
                  <w:vAlign w:val="center"/>
                </w:tcPr>
                <w:p>
                  <w:pPr>
                    <w:pStyle w:val="27"/>
                    <w:jc w:val="center"/>
                    <w:rPr>
                      <w:kern w:val="0"/>
                      <w:lang w:bidi="ar"/>
                    </w:rPr>
                  </w:pPr>
                  <w:r>
                    <w:rPr>
                      <w:kern w:val="0"/>
                      <w:lang w:bidi="ar"/>
                    </w:rPr>
                    <w:t>10</w:t>
                  </w:r>
                  <w:r>
                    <w:rPr>
                      <w:rFonts w:hint="eastAsia"/>
                      <w:kern w:val="0"/>
                      <w:lang w:bidi="ar"/>
                    </w:rPr>
                    <w:t>0</w:t>
                  </w:r>
                  <w:r>
                    <w:rPr>
                      <w:kern w:val="0"/>
                      <w:lang w:bidi="ar"/>
                    </w:rPr>
                    <w:t>00m</w:t>
                  </w:r>
                  <w:r>
                    <w:rPr>
                      <w:rFonts w:hint="eastAsia"/>
                      <w:kern w:val="0"/>
                      <w:vertAlign w:val="superscript"/>
                      <w:lang w:bidi="ar"/>
                    </w:rPr>
                    <w:t>2</w:t>
                  </w:r>
                </w:p>
              </w:tc>
              <w:tc>
                <w:tcPr>
                  <w:tcW w:w="496" w:type="pct"/>
                  <w:tcBorders>
                    <w:tl2br w:val="nil"/>
                    <w:tr2bl w:val="nil"/>
                  </w:tcBorders>
                  <w:vAlign w:val="center"/>
                </w:tcPr>
                <w:p>
                  <w:pPr>
                    <w:pStyle w:val="27"/>
                    <w:jc w:val="center"/>
                  </w:pPr>
                  <w:r>
                    <w:rPr>
                      <w:rFonts w:hint="eastAsia"/>
                    </w:rPr>
                    <w:t>2000</w:t>
                  </w:r>
                </w:p>
              </w:tc>
              <w:tc>
                <w:tcPr>
                  <w:tcW w:w="430" w:type="pct"/>
                  <w:tcBorders>
                    <w:tl2br w:val="nil"/>
                    <w:tr2bl w:val="nil"/>
                  </w:tcBorders>
                  <w:vAlign w:val="center"/>
                </w:tcPr>
                <w:p>
                  <w:pPr>
                    <w:pStyle w:val="27"/>
                    <w:jc w:val="center"/>
                  </w:pPr>
                  <w:r>
                    <w:rPr>
                      <w:rFonts w:hint="eastAsia"/>
                    </w:rPr>
                    <w:t>2000</w:t>
                  </w:r>
                </w:p>
              </w:tc>
              <w:tc>
                <w:tcPr>
                  <w:tcW w:w="497" w:type="pct"/>
                  <w:tcBorders>
                    <w:tl2br w:val="nil"/>
                    <w:tr2bl w:val="nil"/>
                  </w:tcBorders>
                  <w:vAlign w:val="center"/>
                </w:tcPr>
                <w:p>
                  <w:pPr>
                    <w:pStyle w:val="27"/>
                    <w:jc w:val="center"/>
                  </w:pPr>
                  <w:r>
                    <w:rPr>
                      <w:rFonts w:hint="eastAsia"/>
                    </w:rPr>
                    <w:t>0</w:t>
                  </w:r>
                </w:p>
              </w:tc>
              <w:tc>
                <w:tcPr>
                  <w:tcW w:w="451" w:type="pct"/>
                  <w:tcBorders>
                    <w:tl2br w:val="nil"/>
                    <w:tr2bl w:val="nil"/>
                  </w:tcBorders>
                  <w:vAlign w:val="center"/>
                </w:tcPr>
                <w:p>
                  <w:pPr>
                    <w:pStyle w:val="27"/>
                    <w:jc w:val="center"/>
                    <w:rPr>
                      <w:kern w:val="0"/>
                      <w:lang w:bidi="ar"/>
                    </w:rPr>
                  </w:pPr>
                  <w:r>
                    <w:rPr>
                      <w:rFonts w:hint="eastAsia"/>
                      <w:kern w:val="0"/>
                      <w:lang w:bidi="ar"/>
                    </w:rPr>
                    <w:t>0</w:t>
                  </w:r>
                </w:p>
              </w:tc>
              <w:tc>
                <w:tcPr>
                  <w:tcW w:w="1195" w:type="pct"/>
                  <w:vMerge w:val="restart"/>
                  <w:tcBorders>
                    <w:tl2br w:val="nil"/>
                    <w:tr2bl w:val="nil"/>
                  </w:tcBorders>
                  <w:vAlign w:val="center"/>
                </w:tcPr>
                <w:p>
                  <w:pPr>
                    <w:pStyle w:val="27"/>
                    <w:jc w:val="center"/>
                    <w:rPr>
                      <w:kern w:val="0"/>
                      <w:lang w:bidi="ar"/>
                    </w:rPr>
                  </w:pPr>
                  <w:r>
                    <w:rPr>
                      <w:rFonts w:hint="eastAsia"/>
                      <w:kern w:val="0"/>
                      <w:lang w:bidi="ar"/>
                    </w:rPr>
                    <w:t>自然挥发、损耗</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9" w:type="pct"/>
                  <w:tcBorders>
                    <w:tl2br w:val="nil"/>
                    <w:tr2bl w:val="nil"/>
                  </w:tcBorders>
                  <w:vAlign w:val="center"/>
                </w:tcPr>
                <w:p>
                  <w:pPr>
                    <w:pStyle w:val="27"/>
                    <w:jc w:val="center"/>
                  </w:pPr>
                  <w:r>
                    <w:rPr>
                      <w:rFonts w:hint="eastAsia"/>
                    </w:rPr>
                    <w:t>喷淋工序</w:t>
                  </w:r>
                </w:p>
              </w:tc>
              <w:tc>
                <w:tcPr>
                  <w:tcW w:w="762" w:type="pct"/>
                  <w:tcBorders>
                    <w:tl2br w:val="nil"/>
                    <w:tr2bl w:val="nil"/>
                  </w:tcBorders>
                  <w:vAlign w:val="center"/>
                </w:tcPr>
                <w:p>
                  <w:pPr>
                    <w:pStyle w:val="27"/>
                    <w:jc w:val="center"/>
                    <w:rPr>
                      <w:kern w:val="0"/>
                      <w:lang w:bidi="ar"/>
                    </w:rPr>
                  </w:pPr>
                  <w:r>
                    <w:rPr>
                      <w:rFonts w:hint="eastAsia"/>
                      <w:kern w:val="0"/>
                      <w:lang w:bidi="ar"/>
                    </w:rPr>
                    <w:t>/</w:t>
                  </w:r>
                </w:p>
              </w:tc>
              <w:tc>
                <w:tcPr>
                  <w:tcW w:w="656" w:type="pct"/>
                  <w:tcBorders>
                    <w:tl2br w:val="nil"/>
                    <w:tr2bl w:val="nil"/>
                  </w:tcBorders>
                  <w:vAlign w:val="center"/>
                </w:tcPr>
                <w:p>
                  <w:pPr>
                    <w:pStyle w:val="27"/>
                    <w:jc w:val="center"/>
                    <w:rPr>
                      <w:kern w:val="0"/>
                      <w:lang w:bidi="ar"/>
                    </w:rPr>
                  </w:pPr>
                  <w:r>
                    <w:rPr>
                      <w:rFonts w:hint="eastAsia"/>
                      <w:kern w:val="0"/>
                      <w:lang w:bidi="ar"/>
                    </w:rPr>
                    <w:t>/</w:t>
                  </w:r>
                </w:p>
              </w:tc>
              <w:tc>
                <w:tcPr>
                  <w:tcW w:w="496" w:type="pct"/>
                  <w:tcBorders>
                    <w:tl2br w:val="nil"/>
                    <w:tr2bl w:val="nil"/>
                  </w:tcBorders>
                  <w:vAlign w:val="center"/>
                </w:tcPr>
                <w:p>
                  <w:pPr>
                    <w:pStyle w:val="27"/>
                    <w:jc w:val="center"/>
                  </w:pPr>
                  <w:r>
                    <w:rPr>
                      <w:rFonts w:hint="eastAsia"/>
                    </w:rPr>
                    <w:t>600</w:t>
                  </w:r>
                </w:p>
              </w:tc>
              <w:tc>
                <w:tcPr>
                  <w:tcW w:w="430" w:type="pct"/>
                  <w:tcBorders>
                    <w:tl2br w:val="nil"/>
                    <w:tr2bl w:val="nil"/>
                  </w:tcBorders>
                  <w:vAlign w:val="center"/>
                </w:tcPr>
                <w:p>
                  <w:pPr>
                    <w:pStyle w:val="27"/>
                    <w:jc w:val="center"/>
                  </w:pPr>
                  <w:r>
                    <w:rPr>
                      <w:rFonts w:hint="eastAsia"/>
                    </w:rPr>
                    <w:t>600</w:t>
                  </w:r>
                </w:p>
              </w:tc>
              <w:tc>
                <w:tcPr>
                  <w:tcW w:w="497" w:type="pct"/>
                  <w:tcBorders>
                    <w:tl2br w:val="nil"/>
                    <w:tr2bl w:val="nil"/>
                  </w:tcBorders>
                  <w:vAlign w:val="center"/>
                </w:tcPr>
                <w:p>
                  <w:pPr>
                    <w:pStyle w:val="27"/>
                    <w:jc w:val="center"/>
                  </w:pPr>
                  <w:r>
                    <w:rPr>
                      <w:rFonts w:hint="eastAsia"/>
                    </w:rPr>
                    <w:t>0</w:t>
                  </w:r>
                </w:p>
              </w:tc>
              <w:tc>
                <w:tcPr>
                  <w:tcW w:w="451" w:type="pct"/>
                  <w:tcBorders>
                    <w:tl2br w:val="nil"/>
                    <w:tr2bl w:val="nil"/>
                  </w:tcBorders>
                  <w:vAlign w:val="center"/>
                </w:tcPr>
                <w:p>
                  <w:pPr>
                    <w:pStyle w:val="27"/>
                    <w:jc w:val="center"/>
                    <w:rPr>
                      <w:kern w:val="0"/>
                      <w:lang w:bidi="ar"/>
                    </w:rPr>
                  </w:pPr>
                  <w:r>
                    <w:rPr>
                      <w:rFonts w:hint="eastAsia"/>
                      <w:kern w:val="0"/>
                      <w:lang w:bidi="ar"/>
                    </w:rPr>
                    <w:t>0</w:t>
                  </w:r>
                </w:p>
              </w:tc>
              <w:tc>
                <w:tcPr>
                  <w:tcW w:w="1195" w:type="pct"/>
                  <w:vMerge w:val="continue"/>
                  <w:tcBorders>
                    <w:tl2br w:val="nil"/>
                    <w:tr2bl w:val="nil"/>
                  </w:tcBorders>
                  <w:vAlign w:val="center"/>
                </w:tcPr>
                <w:p>
                  <w:pPr>
                    <w:pStyle w:val="27"/>
                    <w:jc w:val="center"/>
                    <w:rPr>
                      <w:kern w:val="0"/>
                      <w:lang w:bidi="ar"/>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9" w:type="pct"/>
                  <w:tcBorders>
                    <w:tl2br w:val="nil"/>
                    <w:tr2bl w:val="nil"/>
                  </w:tcBorders>
                  <w:vAlign w:val="center"/>
                </w:tcPr>
                <w:p>
                  <w:pPr>
                    <w:pStyle w:val="27"/>
                    <w:jc w:val="center"/>
                  </w:pPr>
                  <w:r>
                    <w:rPr>
                      <w:rFonts w:hint="eastAsia"/>
                    </w:rPr>
                    <w:t>搅拌工序</w:t>
                  </w:r>
                </w:p>
              </w:tc>
              <w:tc>
                <w:tcPr>
                  <w:tcW w:w="762" w:type="pct"/>
                  <w:tcBorders>
                    <w:tl2br w:val="nil"/>
                    <w:tr2bl w:val="nil"/>
                  </w:tcBorders>
                  <w:vAlign w:val="center"/>
                </w:tcPr>
                <w:p>
                  <w:pPr>
                    <w:pStyle w:val="27"/>
                    <w:jc w:val="center"/>
                    <w:rPr>
                      <w:kern w:val="0"/>
                      <w:lang w:bidi="ar"/>
                    </w:rPr>
                  </w:pPr>
                  <w:r>
                    <w:rPr>
                      <w:rFonts w:hint="eastAsia"/>
                      <w:kern w:val="0"/>
                      <w:lang w:bidi="ar"/>
                    </w:rPr>
                    <w:t>/</w:t>
                  </w:r>
                </w:p>
              </w:tc>
              <w:tc>
                <w:tcPr>
                  <w:tcW w:w="656" w:type="pct"/>
                  <w:tcBorders>
                    <w:tl2br w:val="nil"/>
                    <w:tr2bl w:val="nil"/>
                  </w:tcBorders>
                  <w:vAlign w:val="center"/>
                </w:tcPr>
                <w:p>
                  <w:pPr>
                    <w:pStyle w:val="27"/>
                    <w:jc w:val="center"/>
                    <w:rPr>
                      <w:kern w:val="0"/>
                      <w:lang w:bidi="ar"/>
                    </w:rPr>
                  </w:pPr>
                  <w:r>
                    <w:rPr>
                      <w:rFonts w:hint="eastAsia"/>
                      <w:kern w:val="0"/>
                      <w:lang w:bidi="ar"/>
                    </w:rPr>
                    <w:t>/</w:t>
                  </w:r>
                </w:p>
              </w:tc>
              <w:tc>
                <w:tcPr>
                  <w:tcW w:w="496" w:type="pct"/>
                  <w:tcBorders>
                    <w:tl2br w:val="nil"/>
                    <w:tr2bl w:val="nil"/>
                  </w:tcBorders>
                  <w:vAlign w:val="center"/>
                </w:tcPr>
                <w:p>
                  <w:pPr>
                    <w:pStyle w:val="27"/>
                    <w:jc w:val="center"/>
                  </w:pPr>
                  <w:r>
                    <w:rPr>
                      <w:rFonts w:hint="eastAsia"/>
                    </w:rPr>
                    <w:t>1500</w:t>
                  </w:r>
                </w:p>
              </w:tc>
              <w:tc>
                <w:tcPr>
                  <w:tcW w:w="430" w:type="pct"/>
                  <w:tcBorders>
                    <w:tl2br w:val="nil"/>
                    <w:tr2bl w:val="nil"/>
                  </w:tcBorders>
                  <w:vAlign w:val="center"/>
                </w:tcPr>
                <w:p>
                  <w:pPr>
                    <w:pStyle w:val="27"/>
                    <w:jc w:val="center"/>
                  </w:pPr>
                  <w:r>
                    <w:rPr>
                      <w:rFonts w:hint="eastAsia"/>
                    </w:rPr>
                    <w:t>1500</w:t>
                  </w:r>
                </w:p>
              </w:tc>
              <w:tc>
                <w:tcPr>
                  <w:tcW w:w="497" w:type="pct"/>
                  <w:tcBorders>
                    <w:tl2br w:val="nil"/>
                    <w:tr2bl w:val="nil"/>
                  </w:tcBorders>
                  <w:vAlign w:val="center"/>
                </w:tcPr>
                <w:p>
                  <w:pPr>
                    <w:pStyle w:val="27"/>
                    <w:jc w:val="center"/>
                  </w:pPr>
                  <w:r>
                    <w:rPr>
                      <w:rFonts w:hint="eastAsia"/>
                    </w:rPr>
                    <w:t>0</w:t>
                  </w:r>
                </w:p>
              </w:tc>
              <w:tc>
                <w:tcPr>
                  <w:tcW w:w="451" w:type="pct"/>
                  <w:tcBorders>
                    <w:tl2br w:val="nil"/>
                    <w:tr2bl w:val="nil"/>
                  </w:tcBorders>
                  <w:vAlign w:val="center"/>
                </w:tcPr>
                <w:p>
                  <w:pPr>
                    <w:pStyle w:val="27"/>
                    <w:jc w:val="center"/>
                    <w:rPr>
                      <w:kern w:val="0"/>
                      <w:lang w:bidi="ar"/>
                    </w:rPr>
                  </w:pPr>
                  <w:r>
                    <w:rPr>
                      <w:rFonts w:hint="eastAsia"/>
                      <w:kern w:val="0"/>
                      <w:lang w:bidi="ar"/>
                    </w:rPr>
                    <w:t>0</w:t>
                  </w:r>
                </w:p>
              </w:tc>
              <w:tc>
                <w:tcPr>
                  <w:tcW w:w="1195" w:type="pct"/>
                  <w:tcBorders>
                    <w:tl2br w:val="nil"/>
                    <w:tr2bl w:val="nil"/>
                  </w:tcBorders>
                  <w:vAlign w:val="center"/>
                </w:tcPr>
                <w:p>
                  <w:pPr>
                    <w:pStyle w:val="27"/>
                    <w:jc w:val="center"/>
                    <w:rPr>
                      <w:kern w:val="0"/>
                      <w:lang w:bidi="ar"/>
                    </w:rPr>
                  </w:pPr>
                  <w:r>
                    <w:rPr>
                      <w:rFonts w:hint="eastAsia"/>
                      <w:kern w:val="0"/>
                      <w:lang w:bidi="ar"/>
                    </w:rPr>
                    <w:t>进入产品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9" w:type="pct"/>
                  <w:tcBorders>
                    <w:tl2br w:val="nil"/>
                    <w:tr2bl w:val="nil"/>
                  </w:tcBorders>
                  <w:vAlign w:val="center"/>
                </w:tcPr>
                <w:p>
                  <w:pPr>
                    <w:pStyle w:val="27"/>
                    <w:jc w:val="center"/>
                  </w:pPr>
                  <w:r>
                    <w:rPr>
                      <w:rFonts w:hint="eastAsia"/>
                    </w:rPr>
                    <w:t>活化浆液</w:t>
                  </w:r>
                </w:p>
              </w:tc>
              <w:tc>
                <w:tcPr>
                  <w:tcW w:w="1183" w:type="dxa"/>
                  <w:tcBorders>
                    <w:tl2br w:val="nil"/>
                    <w:tr2bl w:val="nil"/>
                  </w:tcBorders>
                  <w:vAlign w:val="center"/>
                </w:tcPr>
                <w:p>
                  <w:pPr>
                    <w:pStyle w:val="27"/>
                    <w:jc w:val="center"/>
                    <w:rPr>
                      <w:kern w:val="0"/>
                      <w:lang w:bidi="ar"/>
                    </w:rPr>
                  </w:pPr>
                  <w:r>
                    <w:rPr>
                      <w:rFonts w:hint="eastAsia"/>
                      <w:kern w:val="0"/>
                      <w:lang w:bidi="ar"/>
                    </w:rPr>
                    <w:t>/</w:t>
                  </w:r>
                </w:p>
              </w:tc>
              <w:tc>
                <w:tcPr>
                  <w:tcW w:w="1019" w:type="dxa"/>
                  <w:tcBorders>
                    <w:tl2br w:val="nil"/>
                    <w:tr2bl w:val="nil"/>
                  </w:tcBorders>
                  <w:vAlign w:val="center"/>
                </w:tcPr>
                <w:p>
                  <w:pPr>
                    <w:pStyle w:val="27"/>
                    <w:jc w:val="center"/>
                    <w:rPr>
                      <w:kern w:val="0"/>
                      <w:lang w:bidi="ar"/>
                    </w:rPr>
                  </w:pPr>
                  <w:r>
                    <w:rPr>
                      <w:rFonts w:hint="eastAsia"/>
                      <w:kern w:val="0"/>
                      <w:lang w:bidi="ar"/>
                    </w:rPr>
                    <w:t>/</w:t>
                  </w:r>
                </w:p>
              </w:tc>
              <w:tc>
                <w:tcPr>
                  <w:tcW w:w="496" w:type="pct"/>
                  <w:tcBorders>
                    <w:tl2br w:val="nil"/>
                    <w:tr2bl w:val="nil"/>
                  </w:tcBorders>
                  <w:vAlign w:val="center"/>
                </w:tcPr>
                <w:p>
                  <w:pPr>
                    <w:pStyle w:val="27"/>
                    <w:jc w:val="center"/>
                  </w:pPr>
                  <w:r>
                    <w:rPr>
                      <w:rFonts w:hint="eastAsia"/>
                    </w:rPr>
                    <w:t>60</w:t>
                  </w:r>
                </w:p>
              </w:tc>
              <w:tc>
                <w:tcPr>
                  <w:tcW w:w="430" w:type="pct"/>
                  <w:tcBorders>
                    <w:tl2br w:val="nil"/>
                    <w:tr2bl w:val="nil"/>
                  </w:tcBorders>
                  <w:vAlign w:val="center"/>
                </w:tcPr>
                <w:p>
                  <w:pPr>
                    <w:pStyle w:val="27"/>
                    <w:jc w:val="center"/>
                  </w:pPr>
                  <w:r>
                    <w:rPr>
                      <w:rFonts w:hint="eastAsia"/>
                    </w:rPr>
                    <w:t>60</w:t>
                  </w:r>
                </w:p>
              </w:tc>
              <w:tc>
                <w:tcPr>
                  <w:tcW w:w="772" w:type="dxa"/>
                  <w:tcBorders>
                    <w:tl2br w:val="nil"/>
                    <w:tr2bl w:val="nil"/>
                  </w:tcBorders>
                  <w:vAlign w:val="center"/>
                </w:tcPr>
                <w:p>
                  <w:pPr>
                    <w:pStyle w:val="27"/>
                    <w:jc w:val="center"/>
                  </w:pPr>
                  <w:r>
                    <w:rPr>
                      <w:rFonts w:hint="eastAsia"/>
                    </w:rPr>
                    <w:t>0</w:t>
                  </w:r>
                </w:p>
              </w:tc>
              <w:tc>
                <w:tcPr>
                  <w:tcW w:w="700" w:type="dxa"/>
                  <w:tcBorders>
                    <w:tl2br w:val="nil"/>
                    <w:tr2bl w:val="nil"/>
                  </w:tcBorders>
                  <w:vAlign w:val="center"/>
                </w:tcPr>
                <w:p>
                  <w:pPr>
                    <w:pStyle w:val="27"/>
                    <w:jc w:val="center"/>
                    <w:rPr>
                      <w:kern w:val="0"/>
                      <w:lang w:bidi="ar"/>
                    </w:rPr>
                  </w:pPr>
                  <w:r>
                    <w:rPr>
                      <w:rFonts w:hint="eastAsia"/>
                      <w:kern w:val="0"/>
                      <w:lang w:bidi="ar"/>
                    </w:rPr>
                    <w:t>0</w:t>
                  </w:r>
                </w:p>
              </w:tc>
              <w:tc>
                <w:tcPr>
                  <w:tcW w:w="1855" w:type="dxa"/>
                  <w:tcBorders>
                    <w:tl2br w:val="nil"/>
                    <w:tr2bl w:val="nil"/>
                  </w:tcBorders>
                  <w:vAlign w:val="center"/>
                </w:tcPr>
                <w:p>
                  <w:pPr>
                    <w:pStyle w:val="27"/>
                    <w:jc w:val="center"/>
                    <w:rPr>
                      <w:kern w:val="0"/>
                      <w:lang w:bidi="ar"/>
                    </w:rPr>
                  </w:pPr>
                  <w:r>
                    <w:rPr>
                      <w:rFonts w:hint="eastAsia"/>
                      <w:kern w:val="0"/>
                      <w:lang w:bidi="ar"/>
                    </w:rPr>
                    <w:t>进入产品</w:t>
                  </w:r>
                </w:p>
              </w:tc>
            </w:tr>
          </w:tbl>
          <w:p>
            <w:pPr>
              <w:spacing w:before="163" w:beforeLines="50"/>
              <w:jc w:val="center"/>
            </w:pPr>
            <w:r>
              <w:drawing>
                <wp:inline distT="0" distB="0" distL="114300" distR="114300">
                  <wp:extent cx="4612005" cy="3663315"/>
                  <wp:effectExtent l="0" t="0" r="17145" b="1333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4612005" cy="3663315"/>
                          </a:xfrm>
                          <a:prstGeom prst="rect">
                            <a:avLst/>
                          </a:prstGeom>
                          <a:noFill/>
                          <a:ln>
                            <a:noFill/>
                          </a:ln>
                        </pic:spPr>
                      </pic:pic>
                    </a:graphicData>
                  </a:graphic>
                </wp:inline>
              </w:drawing>
            </w:r>
          </w:p>
          <w:p>
            <w:pPr>
              <w:pStyle w:val="28"/>
              <w:jc w:val="right"/>
            </w:pPr>
            <w:r>
              <w:rPr>
                <w:rFonts w:hint="eastAsia"/>
              </w:rPr>
              <w:t>图</w:t>
            </w:r>
            <w:r>
              <w:t>2-</w:t>
            </w:r>
            <w:r>
              <w:rPr>
                <w:lang w:val="en-US"/>
              </w:rPr>
              <w:t>1</w:t>
            </w:r>
            <w:r>
              <w:t xml:space="preserve">  </w:t>
            </w:r>
            <w:r>
              <w:rPr>
                <w:rFonts w:hint="eastAsia"/>
              </w:rPr>
              <w:t xml:space="preserve">项目水平衡图 </w:t>
            </w:r>
            <w:r>
              <w:t xml:space="preserve">                     m</w:t>
            </w:r>
            <w:r>
              <w:rPr>
                <w:vertAlign w:val="superscript"/>
              </w:rPr>
              <w:t>3</w:t>
            </w:r>
            <w:r>
              <w:t>/</w:t>
            </w:r>
            <w:r>
              <w:rPr>
                <w:rFonts w:hint="eastAsia"/>
                <w:lang w:val="en-US"/>
              </w:rPr>
              <w:t>d</w:t>
            </w:r>
          </w:p>
          <w:p>
            <w:pPr>
              <w:autoSpaceDE w:val="0"/>
              <w:autoSpaceDN w:val="0"/>
              <w:adjustRightInd w:val="0"/>
              <w:rPr>
                <w:b/>
                <w:kern w:val="0"/>
                <w:szCs w:val="21"/>
              </w:rPr>
            </w:pPr>
            <w:r>
              <w:rPr>
                <w:rFonts w:hint="eastAsia"/>
                <w:b/>
                <w:kern w:val="0"/>
                <w:szCs w:val="21"/>
              </w:rPr>
              <w:t>（八）物料平衡</w:t>
            </w:r>
          </w:p>
          <w:p>
            <w:pPr>
              <w:ind w:firstLine="480" w:firstLineChars="200"/>
            </w:pPr>
            <w:r>
              <w:rPr>
                <w:rFonts w:hint="eastAsia"/>
              </w:rPr>
              <w:t>本项目重晶石矿加工生产线物料平衡见表2-6，石英石矿加工生产线物料平衡见表2-7。</w:t>
            </w:r>
          </w:p>
          <w:p>
            <w:pPr>
              <w:pStyle w:val="28"/>
              <w:rPr>
                <w:lang w:val="en-US"/>
              </w:rPr>
            </w:pPr>
            <w:r>
              <w:rPr>
                <w:rFonts w:hint="eastAsia"/>
                <w:lang w:val="en-US"/>
              </w:rPr>
              <w:t>表2-6  重晶石矿加工生产线物料平衡表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172"/>
              <w:gridCol w:w="2005"/>
              <w:gridCol w:w="118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1" w:type="dxa"/>
                  <w:gridSpan w:val="2"/>
                </w:tcPr>
                <w:p>
                  <w:pPr>
                    <w:pStyle w:val="28"/>
                    <w:rPr>
                      <w:b w:val="0"/>
                      <w:bCs/>
                      <w:lang w:val="en-US"/>
                    </w:rPr>
                  </w:pPr>
                  <w:r>
                    <w:rPr>
                      <w:rFonts w:hint="eastAsia"/>
                      <w:b w:val="0"/>
                      <w:bCs/>
                      <w:lang w:val="en-US"/>
                    </w:rPr>
                    <w:t>物料输入</w:t>
                  </w:r>
                </w:p>
              </w:tc>
              <w:tc>
                <w:tcPr>
                  <w:tcW w:w="5246" w:type="dxa"/>
                  <w:gridSpan w:val="3"/>
                </w:tcPr>
                <w:p>
                  <w:pPr>
                    <w:pStyle w:val="28"/>
                    <w:rPr>
                      <w:b w:val="0"/>
                      <w:bCs/>
                      <w:lang w:val="en-US"/>
                    </w:rPr>
                  </w:pPr>
                  <w:r>
                    <w:rPr>
                      <w:rFonts w:hint="eastAsia"/>
                      <w:b w:val="0"/>
                      <w:bCs/>
                      <w:lang w:val="en-US"/>
                    </w:rPr>
                    <w:t>物料输出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pStyle w:val="28"/>
                    <w:rPr>
                      <w:b w:val="0"/>
                      <w:bCs/>
                      <w:lang w:val="en-US"/>
                    </w:rPr>
                  </w:pPr>
                  <w:r>
                    <w:rPr>
                      <w:rFonts w:hint="eastAsia"/>
                      <w:b w:val="0"/>
                      <w:bCs/>
                      <w:lang w:val="en-US"/>
                    </w:rPr>
                    <w:t>名称</w:t>
                  </w:r>
                </w:p>
              </w:tc>
              <w:tc>
                <w:tcPr>
                  <w:tcW w:w="1172" w:type="dxa"/>
                </w:tcPr>
                <w:p>
                  <w:pPr>
                    <w:pStyle w:val="28"/>
                    <w:rPr>
                      <w:b w:val="0"/>
                      <w:bCs/>
                      <w:lang w:val="en-US"/>
                    </w:rPr>
                  </w:pPr>
                  <w:r>
                    <w:rPr>
                      <w:rFonts w:hint="eastAsia"/>
                      <w:b w:val="0"/>
                      <w:bCs/>
                      <w:lang w:val="en-US"/>
                    </w:rPr>
                    <w:t>数量（t/a)</w:t>
                  </w:r>
                </w:p>
              </w:tc>
              <w:tc>
                <w:tcPr>
                  <w:tcW w:w="2005" w:type="dxa"/>
                </w:tcPr>
                <w:p>
                  <w:pPr>
                    <w:pStyle w:val="28"/>
                    <w:rPr>
                      <w:b w:val="0"/>
                      <w:bCs/>
                      <w:lang w:val="en-US"/>
                    </w:rPr>
                  </w:pPr>
                  <w:r>
                    <w:rPr>
                      <w:rFonts w:hint="eastAsia"/>
                      <w:b w:val="0"/>
                      <w:bCs/>
                      <w:lang w:val="en-US"/>
                    </w:rPr>
                    <w:t>名称</w:t>
                  </w:r>
                </w:p>
              </w:tc>
              <w:tc>
                <w:tcPr>
                  <w:tcW w:w="1186" w:type="dxa"/>
                </w:tcPr>
                <w:p>
                  <w:pPr>
                    <w:pStyle w:val="28"/>
                    <w:rPr>
                      <w:b w:val="0"/>
                      <w:bCs/>
                      <w:lang w:val="en-US"/>
                    </w:rPr>
                  </w:pPr>
                  <w:r>
                    <w:rPr>
                      <w:rFonts w:hint="eastAsia"/>
                      <w:b w:val="0"/>
                      <w:bCs/>
                      <w:lang w:val="en-US"/>
                    </w:rPr>
                    <w:t>数量（t/a)</w:t>
                  </w:r>
                </w:p>
              </w:tc>
              <w:tc>
                <w:tcPr>
                  <w:tcW w:w="2055" w:type="dxa"/>
                </w:tcPr>
                <w:p>
                  <w:pPr>
                    <w:pStyle w:val="28"/>
                    <w:rPr>
                      <w:b w:val="0"/>
                      <w:bCs/>
                      <w:lang w:val="en-US"/>
                    </w:rPr>
                  </w:pPr>
                  <w:r>
                    <w:rPr>
                      <w:rFonts w:hint="eastAsia"/>
                      <w:b w:val="0"/>
                      <w:bCs/>
                      <w:lang w:val="en-US"/>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pStyle w:val="28"/>
                    <w:rPr>
                      <w:b w:val="0"/>
                      <w:bCs/>
                      <w:lang w:val="en-US"/>
                    </w:rPr>
                  </w:pPr>
                  <w:r>
                    <w:rPr>
                      <w:rFonts w:hint="eastAsia"/>
                      <w:b w:val="0"/>
                      <w:bCs/>
                      <w:lang w:val="en-US"/>
                    </w:rPr>
                    <w:t>重晶石矿石</w:t>
                  </w:r>
                </w:p>
              </w:tc>
              <w:tc>
                <w:tcPr>
                  <w:tcW w:w="1172" w:type="dxa"/>
                </w:tcPr>
                <w:p>
                  <w:pPr>
                    <w:pStyle w:val="28"/>
                    <w:rPr>
                      <w:b w:val="0"/>
                      <w:bCs/>
                      <w:lang w:val="en-US"/>
                    </w:rPr>
                  </w:pPr>
                  <w:r>
                    <w:rPr>
                      <w:rFonts w:hint="eastAsia"/>
                      <w:b w:val="0"/>
                      <w:bCs/>
                      <w:lang w:val="en-US"/>
                    </w:rPr>
                    <w:t>200000</w:t>
                  </w:r>
                </w:p>
              </w:tc>
              <w:tc>
                <w:tcPr>
                  <w:tcW w:w="2005" w:type="dxa"/>
                </w:tcPr>
                <w:p>
                  <w:pPr>
                    <w:pStyle w:val="28"/>
                    <w:rPr>
                      <w:b w:val="0"/>
                      <w:bCs/>
                      <w:lang w:val="en-US"/>
                    </w:rPr>
                  </w:pPr>
                  <w:r>
                    <w:rPr>
                      <w:rFonts w:hint="eastAsia"/>
                      <w:b w:val="0"/>
                      <w:bCs/>
                      <w:lang w:val="en-US"/>
                    </w:rPr>
                    <w:t>重晶石粉</w:t>
                  </w:r>
                </w:p>
              </w:tc>
              <w:tc>
                <w:tcPr>
                  <w:tcW w:w="1186" w:type="dxa"/>
                </w:tcPr>
                <w:p>
                  <w:pPr>
                    <w:widowControl/>
                    <w:spacing w:line="240" w:lineRule="auto"/>
                    <w:jc w:val="center"/>
                    <w:textAlignment w:val="top"/>
                    <w:rPr>
                      <w:rFonts w:eastAsia="宋体" w:cs="Times New Roman"/>
                      <w:sz w:val="21"/>
                      <w:szCs w:val="21"/>
                    </w:rPr>
                  </w:pPr>
                  <w:r>
                    <w:rPr>
                      <w:rFonts w:eastAsia="宋体" w:cs="Times New Roman"/>
                      <w:kern w:val="0"/>
                      <w:sz w:val="21"/>
                      <w:szCs w:val="21"/>
                      <w:lang w:bidi="ar"/>
                    </w:rPr>
                    <w:t>17599</w:t>
                  </w:r>
                  <w:r>
                    <w:rPr>
                      <w:rFonts w:hint="eastAsia" w:eastAsia="宋体" w:cs="Times New Roman"/>
                      <w:kern w:val="0"/>
                      <w:sz w:val="21"/>
                      <w:szCs w:val="21"/>
                      <w:lang w:bidi="ar"/>
                    </w:rPr>
                    <w:t>4.44</w:t>
                  </w:r>
                </w:p>
              </w:tc>
              <w:tc>
                <w:tcPr>
                  <w:tcW w:w="2055" w:type="dxa"/>
                </w:tcPr>
                <w:p>
                  <w:pPr>
                    <w:pStyle w:val="28"/>
                    <w:rPr>
                      <w:b w:val="0"/>
                      <w:bCs/>
                      <w:lang w:val="en-US"/>
                    </w:rPr>
                  </w:pPr>
                  <w:r>
                    <w:rPr>
                      <w:rFonts w:hint="eastAsia"/>
                      <w:b w:val="0"/>
                      <w:bCs/>
                      <w:lang w:val="en-US"/>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pStyle w:val="27"/>
                    <w:jc w:val="center"/>
                    <w:rPr>
                      <w:bCs/>
                    </w:rPr>
                  </w:pPr>
                  <w:r>
                    <w:rPr>
                      <w:rFonts w:hint="eastAsia"/>
                    </w:rPr>
                    <w:t>活化剂</w:t>
                  </w:r>
                </w:p>
              </w:tc>
              <w:tc>
                <w:tcPr>
                  <w:tcW w:w="1172" w:type="dxa"/>
                </w:tcPr>
                <w:p>
                  <w:pPr>
                    <w:pStyle w:val="28"/>
                    <w:rPr>
                      <w:b w:val="0"/>
                      <w:bCs/>
                      <w:lang w:val="en-US"/>
                    </w:rPr>
                  </w:pPr>
                  <w:r>
                    <w:rPr>
                      <w:rFonts w:hint="eastAsia"/>
                      <w:b w:val="0"/>
                      <w:bCs/>
                      <w:lang w:val="en-US"/>
                    </w:rPr>
                    <w:t>3</w:t>
                  </w:r>
                </w:p>
              </w:tc>
              <w:tc>
                <w:tcPr>
                  <w:tcW w:w="2005" w:type="dxa"/>
                </w:tcPr>
                <w:p>
                  <w:pPr>
                    <w:pStyle w:val="28"/>
                    <w:rPr>
                      <w:b w:val="0"/>
                      <w:bCs/>
                      <w:lang w:val="en-US"/>
                    </w:rPr>
                  </w:pPr>
                  <w:r>
                    <w:rPr>
                      <w:rFonts w:hint="eastAsia"/>
                      <w:b w:val="0"/>
                      <w:bCs/>
                      <w:lang w:val="en-US"/>
                    </w:rPr>
                    <w:t>活化石粉</w:t>
                  </w:r>
                </w:p>
              </w:tc>
              <w:tc>
                <w:tcPr>
                  <w:tcW w:w="1186" w:type="dxa"/>
                </w:tcPr>
                <w:p>
                  <w:pPr>
                    <w:pStyle w:val="28"/>
                    <w:rPr>
                      <w:b w:val="0"/>
                      <w:bCs/>
                      <w:lang w:val="en-US"/>
                    </w:rPr>
                  </w:pPr>
                  <w:r>
                    <w:rPr>
                      <w:rFonts w:hint="eastAsia"/>
                      <w:b w:val="0"/>
                      <w:bCs/>
                      <w:lang w:val="en-US"/>
                    </w:rPr>
                    <w:t>20063</w:t>
                  </w:r>
                </w:p>
              </w:tc>
              <w:tc>
                <w:tcPr>
                  <w:tcW w:w="2055" w:type="dxa"/>
                </w:tcPr>
                <w:p>
                  <w:pPr>
                    <w:pStyle w:val="28"/>
                    <w:rPr>
                      <w:b w:val="0"/>
                      <w:bCs/>
                      <w:lang w:val="en-US"/>
                    </w:rPr>
                  </w:pPr>
                  <w:r>
                    <w:rPr>
                      <w:rFonts w:hint="eastAsia"/>
                      <w:b w:val="0"/>
                      <w:bCs/>
                      <w:lang w:val="en-US"/>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pStyle w:val="27"/>
                    <w:jc w:val="center"/>
                    <w:rPr>
                      <w:bCs/>
                    </w:rPr>
                  </w:pPr>
                  <w:r>
                    <w:rPr>
                      <w:rFonts w:hint="eastAsia"/>
                    </w:rPr>
                    <w:t>水泥</w:t>
                  </w:r>
                </w:p>
              </w:tc>
              <w:tc>
                <w:tcPr>
                  <w:tcW w:w="1172" w:type="dxa"/>
                </w:tcPr>
                <w:p>
                  <w:pPr>
                    <w:pStyle w:val="28"/>
                    <w:rPr>
                      <w:b w:val="0"/>
                      <w:bCs/>
                      <w:lang w:val="en-US"/>
                    </w:rPr>
                  </w:pPr>
                  <w:r>
                    <w:rPr>
                      <w:rFonts w:hint="eastAsia"/>
                      <w:b w:val="0"/>
                      <w:bCs/>
                      <w:lang w:val="en-US"/>
                    </w:rPr>
                    <w:t>1000</w:t>
                  </w:r>
                </w:p>
              </w:tc>
              <w:tc>
                <w:tcPr>
                  <w:tcW w:w="2005" w:type="dxa"/>
                </w:tcPr>
                <w:p>
                  <w:pPr>
                    <w:pStyle w:val="28"/>
                    <w:rPr>
                      <w:b w:val="0"/>
                      <w:bCs/>
                      <w:lang w:val="en-US"/>
                    </w:rPr>
                  </w:pPr>
                  <w:r>
                    <w:rPr>
                      <w:rFonts w:hint="eastAsia"/>
                      <w:b w:val="0"/>
                      <w:bCs/>
                      <w:lang w:val="en-US"/>
                    </w:rPr>
                    <w:t>防辐射预制品</w:t>
                  </w:r>
                </w:p>
              </w:tc>
              <w:tc>
                <w:tcPr>
                  <w:tcW w:w="1186" w:type="dxa"/>
                </w:tcPr>
                <w:p>
                  <w:pPr>
                    <w:pStyle w:val="28"/>
                    <w:rPr>
                      <w:b w:val="0"/>
                      <w:bCs/>
                      <w:lang w:val="en-US"/>
                    </w:rPr>
                  </w:pPr>
                  <w:r>
                    <w:rPr>
                      <w:rFonts w:hint="eastAsia"/>
                      <w:b w:val="0"/>
                      <w:bCs/>
                      <w:lang w:val="en-US"/>
                    </w:rPr>
                    <w:t>6500</w:t>
                  </w:r>
                </w:p>
              </w:tc>
              <w:tc>
                <w:tcPr>
                  <w:tcW w:w="2055" w:type="dxa"/>
                </w:tcPr>
                <w:p>
                  <w:pPr>
                    <w:pStyle w:val="28"/>
                    <w:rPr>
                      <w:b w:val="0"/>
                      <w:bCs/>
                      <w:lang w:val="en-US"/>
                    </w:rPr>
                  </w:pPr>
                  <w:r>
                    <w:rPr>
                      <w:rFonts w:hint="eastAsia"/>
                      <w:b w:val="0"/>
                      <w:bCs/>
                      <w:lang w:val="en-US"/>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pStyle w:val="27"/>
                    <w:jc w:val="center"/>
                    <w:rPr>
                      <w:bCs/>
                    </w:rPr>
                  </w:pPr>
                  <w:r>
                    <w:rPr>
                      <w:rFonts w:hint="eastAsia"/>
                    </w:rPr>
                    <w:t>水</w:t>
                  </w:r>
                </w:p>
              </w:tc>
              <w:tc>
                <w:tcPr>
                  <w:tcW w:w="1172" w:type="dxa"/>
                </w:tcPr>
                <w:p>
                  <w:pPr>
                    <w:pStyle w:val="28"/>
                    <w:rPr>
                      <w:b w:val="0"/>
                      <w:bCs/>
                      <w:lang w:val="en-US"/>
                    </w:rPr>
                  </w:pPr>
                  <w:r>
                    <w:rPr>
                      <w:rFonts w:hint="eastAsia"/>
                      <w:b w:val="0"/>
                      <w:bCs/>
                      <w:lang w:val="en-US"/>
                    </w:rPr>
                    <w:t>1560</w:t>
                  </w:r>
                </w:p>
              </w:tc>
              <w:tc>
                <w:tcPr>
                  <w:tcW w:w="2005" w:type="dxa"/>
                </w:tcPr>
                <w:p>
                  <w:pPr>
                    <w:pStyle w:val="28"/>
                    <w:rPr>
                      <w:b w:val="0"/>
                      <w:bCs/>
                      <w:lang w:val="en-US"/>
                    </w:rPr>
                  </w:pPr>
                  <w:r>
                    <w:rPr>
                      <w:rFonts w:hint="eastAsia"/>
                      <w:b w:val="0"/>
                      <w:bCs/>
                      <w:lang w:val="en-US"/>
                    </w:rPr>
                    <w:t>排放的粉尘</w:t>
                  </w:r>
                </w:p>
              </w:tc>
              <w:tc>
                <w:tcPr>
                  <w:tcW w:w="1186" w:type="dxa"/>
                </w:tcPr>
                <w:p>
                  <w:pPr>
                    <w:pStyle w:val="28"/>
                    <w:rPr>
                      <w:b w:val="0"/>
                      <w:bCs/>
                      <w:lang w:val="en-US"/>
                    </w:rPr>
                  </w:pPr>
                  <w:r>
                    <w:rPr>
                      <w:rFonts w:hint="eastAsia"/>
                      <w:b w:val="0"/>
                      <w:bCs/>
                      <w:lang w:val="en-US"/>
                    </w:rPr>
                    <w:t>5.56</w:t>
                  </w:r>
                </w:p>
              </w:tc>
              <w:tc>
                <w:tcPr>
                  <w:tcW w:w="2055" w:type="dxa"/>
                </w:tcPr>
                <w:p>
                  <w:pPr>
                    <w:pStyle w:val="28"/>
                    <w:rPr>
                      <w:b w:val="0"/>
                      <w:bCs/>
                      <w:lang w:val="en-US"/>
                    </w:rPr>
                  </w:pPr>
                  <w:r>
                    <w:rPr>
                      <w:rFonts w:hint="eastAsia"/>
                      <w:b w:val="0"/>
                      <w:bCs/>
                      <w:lang w:val="en-US"/>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pStyle w:val="28"/>
                    <w:rPr>
                      <w:b w:val="0"/>
                      <w:bCs/>
                      <w:lang w:val="en-US"/>
                    </w:rPr>
                  </w:pPr>
                  <w:r>
                    <w:rPr>
                      <w:rFonts w:hint="eastAsia"/>
                      <w:b w:val="0"/>
                      <w:bCs/>
                      <w:lang w:val="en-US"/>
                    </w:rPr>
                    <w:t>合计</w:t>
                  </w:r>
                </w:p>
              </w:tc>
              <w:tc>
                <w:tcPr>
                  <w:tcW w:w="1172" w:type="dxa"/>
                </w:tcPr>
                <w:p>
                  <w:pPr>
                    <w:pStyle w:val="28"/>
                    <w:rPr>
                      <w:b w:val="0"/>
                      <w:bCs/>
                      <w:lang w:val="en-US"/>
                    </w:rPr>
                  </w:pPr>
                  <w:r>
                    <w:rPr>
                      <w:rFonts w:hint="eastAsia"/>
                      <w:b w:val="0"/>
                      <w:bCs/>
                      <w:lang w:val="en-US"/>
                    </w:rPr>
                    <w:t>202563</w:t>
                  </w:r>
                </w:p>
              </w:tc>
              <w:tc>
                <w:tcPr>
                  <w:tcW w:w="2005" w:type="dxa"/>
                </w:tcPr>
                <w:p>
                  <w:pPr>
                    <w:pStyle w:val="28"/>
                    <w:rPr>
                      <w:b w:val="0"/>
                      <w:bCs/>
                      <w:lang w:val="en-US"/>
                    </w:rPr>
                  </w:pPr>
                  <w:r>
                    <w:rPr>
                      <w:rFonts w:hint="eastAsia"/>
                      <w:b w:val="0"/>
                      <w:bCs/>
                      <w:lang w:val="en-US"/>
                    </w:rPr>
                    <w:t>合计</w:t>
                  </w:r>
                </w:p>
              </w:tc>
              <w:tc>
                <w:tcPr>
                  <w:tcW w:w="1186" w:type="dxa"/>
                </w:tcPr>
                <w:p>
                  <w:pPr>
                    <w:pStyle w:val="28"/>
                    <w:rPr>
                      <w:b w:val="0"/>
                      <w:bCs/>
                      <w:lang w:val="en-US"/>
                    </w:rPr>
                  </w:pPr>
                  <w:r>
                    <w:rPr>
                      <w:rFonts w:hint="eastAsia"/>
                      <w:b w:val="0"/>
                      <w:bCs/>
                      <w:lang w:val="en-US"/>
                    </w:rPr>
                    <w:t>202563</w:t>
                  </w:r>
                </w:p>
              </w:tc>
              <w:tc>
                <w:tcPr>
                  <w:tcW w:w="2055" w:type="dxa"/>
                </w:tcPr>
                <w:p>
                  <w:pPr>
                    <w:pStyle w:val="28"/>
                    <w:rPr>
                      <w:b w:val="0"/>
                      <w:bCs/>
                      <w:lang w:val="en-US"/>
                    </w:rPr>
                  </w:pPr>
                  <w:r>
                    <w:rPr>
                      <w:rFonts w:hint="eastAsia"/>
                      <w:b w:val="0"/>
                      <w:bCs/>
                      <w:lang w:val="en-US"/>
                    </w:rPr>
                    <w:t>/</w:t>
                  </w:r>
                </w:p>
              </w:tc>
            </w:tr>
          </w:tbl>
          <w:p>
            <w:pPr>
              <w:pStyle w:val="28"/>
              <w:rPr>
                <w:lang w:val="en-US"/>
              </w:rPr>
            </w:pPr>
          </w:p>
          <w:p>
            <w:pPr>
              <w:pStyle w:val="28"/>
              <w:rPr>
                <w:lang w:val="en-US"/>
              </w:rPr>
            </w:pPr>
          </w:p>
          <w:p>
            <w:pPr>
              <w:pStyle w:val="28"/>
              <w:rPr>
                <w:lang w:val="en-US"/>
              </w:rPr>
            </w:pPr>
            <w:r>
              <w:rPr>
                <w:rFonts w:hint="eastAsia"/>
                <w:lang w:val="en-US"/>
              </w:rPr>
              <w:t>表2-7  石英石矿加工生产线物料平衡表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172"/>
              <w:gridCol w:w="2005"/>
              <w:gridCol w:w="118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dxa"/>
                  <w:gridSpan w:val="2"/>
                </w:tcPr>
                <w:p>
                  <w:pPr>
                    <w:pStyle w:val="28"/>
                    <w:rPr>
                      <w:b w:val="0"/>
                      <w:bCs/>
                      <w:lang w:val="en-US"/>
                    </w:rPr>
                  </w:pPr>
                  <w:r>
                    <w:rPr>
                      <w:rFonts w:hint="eastAsia"/>
                      <w:b w:val="0"/>
                      <w:bCs/>
                      <w:lang w:val="en-US"/>
                    </w:rPr>
                    <w:t>物料输入</w:t>
                  </w:r>
                </w:p>
              </w:tc>
              <w:tc>
                <w:tcPr>
                  <w:tcW w:w="5246" w:type="dxa"/>
                  <w:gridSpan w:val="3"/>
                </w:tcPr>
                <w:p>
                  <w:pPr>
                    <w:pStyle w:val="28"/>
                    <w:rPr>
                      <w:b w:val="0"/>
                      <w:bCs/>
                      <w:lang w:val="en-US"/>
                    </w:rPr>
                  </w:pPr>
                  <w:r>
                    <w:rPr>
                      <w:rFonts w:hint="eastAsia"/>
                      <w:b w:val="0"/>
                      <w:bCs/>
                      <w:lang w:val="en-US"/>
                    </w:rPr>
                    <w:t>物料输出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pStyle w:val="28"/>
                    <w:rPr>
                      <w:b w:val="0"/>
                      <w:bCs/>
                      <w:lang w:val="en-US"/>
                    </w:rPr>
                  </w:pPr>
                  <w:r>
                    <w:rPr>
                      <w:rFonts w:hint="eastAsia"/>
                      <w:b w:val="0"/>
                      <w:bCs/>
                      <w:lang w:val="en-US"/>
                    </w:rPr>
                    <w:t>名称</w:t>
                  </w:r>
                </w:p>
              </w:tc>
              <w:tc>
                <w:tcPr>
                  <w:tcW w:w="1172" w:type="dxa"/>
                </w:tcPr>
                <w:p>
                  <w:pPr>
                    <w:pStyle w:val="28"/>
                    <w:rPr>
                      <w:b w:val="0"/>
                      <w:bCs/>
                      <w:lang w:val="en-US"/>
                    </w:rPr>
                  </w:pPr>
                  <w:r>
                    <w:rPr>
                      <w:rFonts w:hint="eastAsia"/>
                      <w:b w:val="0"/>
                      <w:bCs/>
                      <w:lang w:val="en-US"/>
                    </w:rPr>
                    <w:t>数量（t/a)</w:t>
                  </w:r>
                </w:p>
              </w:tc>
              <w:tc>
                <w:tcPr>
                  <w:tcW w:w="2005" w:type="dxa"/>
                </w:tcPr>
                <w:p>
                  <w:pPr>
                    <w:pStyle w:val="28"/>
                    <w:rPr>
                      <w:b w:val="0"/>
                      <w:bCs/>
                      <w:lang w:val="en-US"/>
                    </w:rPr>
                  </w:pPr>
                  <w:r>
                    <w:rPr>
                      <w:rFonts w:hint="eastAsia"/>
                      <w:b w:val="0"/>
                      <w:bCs/>
                      <w:lang w:val="en-US"/>
                    </w:rPr>
                    <w:t>名称</w:t>
                  </w:r>
                </w:p>
              </w:tc>
              <w:tc>
                <w:tcPr>
                  <w:tcW w:w="1186" w:type="dxa"/>
                </w:tcPr>
                <w:p>
                  <w:pPr>
                    <w:pStyle w:val="28"/>
                    <w:rPr>
                      <w:b w:val="0"/>
                      <w:bCs/>
                      <w:lang w:val="en-US"/>
                    </w:rPr>
                  </w:pPr>
                  <w:r>
                    <w:rPr>
                      <w:rFonts w:hint="eastAsia"/>
                      <w:b w:val="0"/>
                      <w:bCs/>
                      <w:lang w:val="en-US"/>
                    </w:rPr>
                    <w:t>数量（t/a)</w:t>
                  </w:r>
                </w:p>
              </w:tc>
              <w:tc>
                <w:tcPr>
                  <w:tcW w:w="2055" w:type="dxa"/>
                </w:tcPr>
                <w:p>
                  <w:pPr>
                    <w:pStyle w:val="28"/>
                    <w:rPr>
                      <w:b w:val="0"/>
                      <w:bCs/>
                      <w:lang w:val="en-US"/>
                    </w:rPr>
                  </w:pPr>
                  <w:r>
                    <w:rPr>
                      <w:rFonts w:hint="eastAsia"/>
                      <w:b w:val="0"/>
                      <w:bCs/>
                      <w:lang w:val="en-US"/>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pStyle w:val="28"/>
                    <w:rPr>
                      <w:b w:val="0"/>
                      <w:bCs/>
                      <w:lang w:val="en-US"/>
                    </w:rPr>
                  </w:pPr>
                  <w:r>
                    <w:rPr>
                      <w:rFonts w:hint="eastAsia"/>
                      <w:b w:val="0"/>
                      <w:bCs/>
                      <w:lang w:val="en-US"/>
                    </w:rPr>
                    <w:t>石英石岩矿</w:t>
                  </w:r>
                </w:p>
              </w:tc>
              <w:tc>
                <w:tcPr>
                  <w:tcW w:w="1172" w:type="dxa"/>
                </w:tcPr>
                <w:p>
                  <w:pPr>
                    <w:pStyle w:val="28"/>
                    <w:rPr>
                      <w:b w:val="0"/>
                      <w:bCs/>
                      <w:lang w:val="en-US"/>
                    </w:rPr>
                  </w:pPr>
                  <w:r>
                    <w:rPr>
                      <w:rFonts w:hint="eastAsia"/>
                      <w:b w:val="0"/>
                      <w:bCs/>
                      <w:lang w:val="en-US"/>
                    </w:rPr>
                    <w:t>100000</w:t>
                  </w:r>
                </w:p>
              </w:tc>
              <w:tc>
                <w:tcPr>
                  <w:tcW w:w="2005" w:type="dxa"/>
                </w:tcPr>
                <w:p>
                  <w:pPr>
                    <w:pStyle w:val="28"/>
                    <w:rPr>
                      <w:b w:val="0"/>
                      <w:bCs/>
                      <w:lang w:val="en-US"/>
                    </w:rPr>
                  </w:pPr>
                  <w:r>
                    <w:rPr>
                      <w:rFonts w:hint="eastAsia"/>
                      <w:b w:val="0"/>
                      <w:bCs/>
                      <w:lang w:val="en-US"/>
                    </w:rPr>
                    <w:t>石英砂</w:t>
                  </w:r>
                </w:p>
              </w:tc>
              <w:tc>
                <w:tcPr>
                  <w:tcW w:w="1186" w:type="dxa"/>
                </w:tcPr>
                <w:p>
                  <w:pPr>
                    <w:widowControl/>
                    <w:spacing w:line="240" w:lineRule="auto"/>
                    <w:jc w:val="center"/>
                    <w:textAlignment w:val="top"/>
                    <w:rPr>
                      <w:rFonts w:eastAsia="宋体" w:cs="Times New Roman"/>
                      <w:sz w:val="21"/>
                      <w:szCs w:val="21"/>
                    </w:rPr>
                  </w:pPr>
                  <w:r>
                    <w:rPr>
                      <w:rFonts w:hint="eastAsia" w:eastAsia="宋体" w:cs="Times New Roman"/>
                      <w:sz w:val="21"/>
                      <w:szCs w:val="21"/>
                    </w:rPr>
                    <w:t>99997.4</w:t>
                  </w:r>
                </w:p>
              </w:tc>
              <w:tc>
                <w:tcPr>
                  <w:tcW w:w="2055" w:type="dxa"/>
                </w:tcPr>
                <w:p>
                  <w:pPr>
                    <w:pStyle w:val="28"/>
                    <w:rPr>
                      <w:b w:val="0"/>
                      <w:bCs/>
                      <w:lang w:val="en-US"/>
                    </w:rPr>
                  </w:pPr>
                  <w:r>
                    <w:rPr>
                      <w:rFonts w:hint="eastAsia"/>
                      <w:b w:val="0"/>
                      <w:bCs/>
                      <w:lang w:val="en-US"/>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pStyle w:val="27"/>
                    <w:jc w:val="center"/>
                    <w:rPr>
                      <w:bCs/>
                    </w:rPr>
                  </w:pPr>
                  <w:r>
                    <w:rPr>
                      <w:rFonts w:hint="eastAsia"/>
                      <w:bCs/>
                    </w:rPr>
                    <w:t>/</w:t>
                  </w:r>
                </w:p>
              </w:tc>
              <w:tc>
                <w:tcPr>
                  <w:tcW w:w="1172" w:type="dxa"/>
                </w:tcPr>
                <w:p>
                  <w:pPr>
                    <w:pStyle w:val="28"/>
                    <w:rPr>
                      <w:b w:val="0"/>
                      <w:bCs/>
                      <w:lang w:val="en-US"/>
                    </w:rPr>
                  </w:pPr>
                  <w:r>
                    <w:rPr>
                      <w:rFonts w:hint="eastAsia"/>
                      <w:b w:val="0"/>
                      <w:bCs/>
                      <w:lang w:val="en-US"/>
                    </w:rPr>
                    <w:t>/</w:t>
                  </w:r>
                </w:p>
              </w:tc>
              <w:tc>
                <w:tcPr>
                  <w:tcW w:w="2005" w:type="dxa"/>
                </w:tcPr>
                <w:p>
                  <w:pPr>
                    <w:pStyle w:val="28"/>
                    <w:rPr>
                      <w:b w:val="0"/>
                      <w:bCs/>
                      <w:lang w:val="en-US"/>
                    </w:rPr>
                  </w:pPr>
                  <w:r>
                    <w:rPr>
                      <w:rFonts w:hint="eastAsia"/>
                      <w:b w:val="0"/>
                      <w:bCs/>
                      <w:lang w:val="en-US"/>
                    </w:rPr>
                    <w:t>排放的粉尘</w:t>
                  </w:r>
                </w:p>
              </w:tc>
              <w:tc>
                <w:tcPr>
                  <w:tcW w:w="1186" w:type="dxa"/>
                </w:tcPr>
                <w:p>
                  <w:pPr>
                    <w:pStyle w:val="28"/>
                    <w:rPr>
                      <w:b w:val="0"/>
                      <w:bCs/>
                      <w:lang w:val="en-US"/>
                    </w:rPr>
                  </w:pPr>
                  <w:r>
                    <w:rPr>
                      <w:rFonts w:hint="eastAsia"/>
                      <w:b w:val="0"/>
                      <w:bCs/>
                      <w:lang w:val="en-US"/>
                    </w:rPr>
                    <w:t>2.6</w:t>
                  </w:r>
                </w:p>
              </w:tc>
              <w:tc>
                <w:tcPr>
                  <w:tcW w:w="2055" w:type="dxa"/>
                </w:tcPr>
                <w:p>
                  <w:pPr>
                    <w:pStyle w:val="28"/>
                    <w:rPr>
                      <w:b w:val="0"/>
                      <w:bCs/>
                      <w:lang w:val="en-US"/>
                    </w:rPr>
                  </w:pPr>
                  <w:r>
                    <w:rPr>
                      <w:rFonts w:hint="eastAsia"/>
                      <w:b w:val="0"/>
                      <w:bCs/>
                      <w:lang w:val="en-US"/>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pStyle w:val="28"/>
                    <w:rPr>
                      <w:b w:val="0"/>
                      <w:bCs/>
                      <w:lang w:val="en-US"/>
                    </w:rPr>
                  </w:pPr>
                  <w:r>
                    <w:rPr>
                      <w:rFonts w:hint="eastAsia"/>
                      <w:b w:val="0"/>
                      <w:bCs/>
                      <w:lang w:val="en-US"/>
                    </w:rPr>
                    <w:t>合计</w:t>
                  </w:r>
                </w:p>
              </w:tc>
              <w:tc>
                <w:tcPr>
                  <w:tcW w:w="1172" w:type="dxa"/>
                </w:tcPr>
                <w:p>
                  <w:pPr>
                    <w:pStyle w:val="28"/>
                    <w:rPr>
                      <w:b w:val="0"/>
                      <w:bCs/>
                      <w:lang w:val="en-US"/>
                    </w:rPr>
                  </w:pPr>
                  <w:r>
                    <w:rPr>
                      <w:rFonts w:hint="eastAsia"/>
                      <w:b w:val="0"/>
                      <w:bCs/>
                      <w:lang w:val="en-US"/>
                    </w:rPr>
                    <w:t>100000</w:t>
                  </w:r>
                </w:p>
              </w:tc>
              <w:tc>
                <w:tcPr>
                  <w:tcW w:w="2005" w:type="dxa"/>
                </w:tcPr>
                <w:p>
                  <w:pPr>
                    <w:pStyle w:val="28"/>
                    <w:rPr>
                      <w:b w:val="0"/>
                      <w:bCs/>
                      <w:lang w:val="en-US"/>
                    </w:rPr>
                  </w:pPr>
                  <w:r>
                    <w:rPr>
                      <w:rFonts w:hint="eastAsia"/>
                      <w:b w:val="0"/>
                      <w:bCs/>
                      <w:lang w:val="en-US"/>
                    </w:rPr>
                    <w:t>合计</w:t>
                  </w:r>
                </w:p>
              </w:tc>
              <w:tc>
                <w:tcPr>
                  <w:tcW w:w="1186" w:type="dxa"/>
                </w:tcPr>
                <w:p>
                  <w:pPr>
                    <w:pStyle w:val="28"/>
                    <w:rPr>
                      <w:b w:val="0"/>
                      <w:bCs/>
                      <w:lang w:val="en-US"/>
                    </w:rPr>
                  </w:pPr>
                  <w:r>
                    <w:rPr>
                      <w:rFonts w:hint="eastAsia"/>
                      <w:b w:val="0"/>
                      <w:bCs/>
                      <w:lang w:val="en-US"/>
                    </w:rPr>
                    <w:t>100000</w:t>
                  </w:r>
                </w:p>
              </w:tc>
              <w:tc>
                <w:tcPr>
                  <w:tcW w:w="2055" w:type="dxa"/>
                </w:tcPr>
                <w:p>
                  <w:pPr>
                    <w:pStyle w:val="28"/>
                    <w:rPr>
                      <w:b w:val="0"/>
                      <w:bCs/>
                      <w:lang w:val="en-US"/>
                    </w:rPr>
                  </w:pPr>
                  <w:r>
                    <w:rPr>
                      <w:rFonts w:hint="eastAsia"/>
                      <w:b w:val="0"/>
                      <w:bCs/>
                      <w:lang w:val="en-US"/>
                    </w:rPr>
                    <w:t>/</w:t>
                  </w:r>
                </w:p>
              </w:tc>
            </w:tr>
          </w:tbl>
          <w:p>
            <w:pPr>
              <w:autoSpaceDE w:val="0"/>
              <w:autoSpaceDN w:val="0"/>
              <w:adjustRightInd w:val="0"/>
              <w:rPr>
                <w:b/>
                <w:kern w:val="0"/>
                <w:szCs w:val="21"/>
              </w:rPr>
            </w:pPr>
            <w:r>
              <w:rPr>
                <w:rFonts w:hint="eastAsia"/>
                <w:b/>
                <w:kern w:val="0"/>
                <w:szCs w:val="21"/>
              </w:rPr>
              <w:t>（九）劳动定员及工作制度</w:t>
            </w:r>
          </w:p>
          <w:p>
            <w:pPr>
              <w:ind w:firstLine="480" w:firstLineChars="200"/>
            </w:pPr>
            <w:r>
              <w:rPr>
                <w:rFonts w:hint="eastAsia"/>
              </w:rPr>
              <w:t>根据企业提供的资料，本项目劳动定员</w:t>
            </w:r>
            <w:r>
              <w:t>20</w:t>
            </w:r>
            <w:r>
              <w:rPr>
                <w:rFonts w:hint="eastAsia"/>
              </w:rPr>
              <w:t>人，生活区主要为职工提供午休，不在场内设置食宿。年工作时间为300天，一天一班，每班</w:t>
            </w:r>
            <w:r>
              <w:t>8</w:t>
            </w:r>
            <w:r>
              <w:rPr>
                <w:rFonts w:hint="eastAsia"/>
              </w:rPr>
              <w:t>小时，夜间不生产。</w:t>
            </w:r>
          </w:p>
          <w:p>
            <w:pPr>
              <w:autoSpaceDE w:val="0"/>
              <w:autoSpaceDN w:val="0"/>
              <w:adjustRightInd w:val="0"/>
              <w:rPr>
                <w:b/>
                <w:kern w:val="0"/>
                <w:szCs w:val="21"/>
              </w:rPr>
            </w:pPr>
            <w:r>
              <w:rPr>
                <w:rFonts w:hint="eastAsia"/>
                <w:b/>
                <w:kern w:val="0"/>
                <w:szCs w:val="21"/>
              </w:rPr>
              <w:t>（十）</w:t>
            </w:r>
            <w:r>
              <w:rPr>
                <w:b/>
                <w:kern w:val="0"/>
                <w:szCs w:val="21"/>
              </w:rPr>
              <w:t>厂区平面布置</w:t>
            </w:r>
          </w:p>
          <w:p>
            <w:pPr>
              <w:ind w:firstLine="480" w:firstLineChars="200"/>
              <w:rPr>
                <w:szCs w:val="21"/>
              </w:rPr>
            </w:pPr>
            <w:r>
              <w:rPr>
                <w:rFonts w:hint="eastAsia"/>
              </w:rPr>
              <w:t>本项目场地内各建（构）筑物自北向南布置，生活办公综合楼位于场地北侧，物料堆场位于场地中部，生产厂房位于场地南部，生产设施均位于密闭的生产厂房内，场内道路将生产区与生活区物理分割，其余部分均进行绿化美化。生产区与办公生活区实现静闹分离，故本项目平面布置</w:t>
            </w:r>
            <w:r>
              <w:rPr>
                <w:rFonts w:hint="eastAsia"/>
                <w:szCs w:val="21"/>
              </w:rPr>
              <w:t>根据“分布合理、工艺流畅、物流短捷、突出环保、因地制宜”的原则，结合用地条件及生产工艺，综合考虑环保、消防、卫生等要求，对场内各分区布置进行统筹安排。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r>
              <w:rPr>
                <w:rFonts w:hint="eastAsia" w:cs="宋体"/>
                <w:b/>
                <w:bCs/>
                <w:szCs w:val="21"/>
              </w:rPr>
              <w:t>工艺流程和产排污环节</w:t>
            </w: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hint="eastAsia" w:cs="宋体"/>
                <w:b/>
                <w:bCs/>
                <w:szCs w:val="21"/>
              </w:rPr>
            </w:pPr>
          </w:p>
          <w:p>
            <w:pPr>
              <w:pStyle w:val="16"/>
              <w:adjustRightInd w:val="0"/>
              <w:snapToGrid w:val="0"/>
              <w:spacing w:before="0" w:beforeAutospacing="0" w:after="0" w:afterAutospacing="0"/>
              <w:jc w:val="center"/>
              <w:rPr>
                <w:rFonts w:cs="宋体"/>
                <w:b/>
                <w:bCs/>
                <w:szCs w:val="21"/>
              </w:rPr>
            </w:pPr>
          </w:p>
          <w:p>
            <w:pPr>
              <w:pStyle w:val="16"/>
              <w:adjustRightInd w:val="0"/>
              <w:snapToGrid w:val="0"/>
              <w:spacing w:before="0" w:beforeAutospacing="0" w:after="0" w:afterAutospacing="0"/>
              <w:jc w:val="center"/>
              <w:rPr>
                <w:rFonts w:cs="宋体"/>
                <w:b/>
                <w:bCs/>
                <w:szCs w:val="21"/>
              </w:rPr>
            </w:pPr>
            <w:r>
              <w:rPr>
                <w:rFonts w:hint="eastAsia" w:cs="宋体"/>
                <w:b/>
                <w:bCs/>
                <w:szCs w:val="21"/>
              </w:rPr>
              <w:t>工艺流程和产排污环节</w:t>
            </w:r>
          </w:p>
        </w:tc>
        <w:tc>
          <w:tcPr>
            <w:tcW w:w="7847" w:type="dxa"/>
          </w:tcPr>
          <w:p>
            <w:pPr>
              <w:rPr>
                <w:b/>
                <w:bCs/>
              </w:rPr>
            </w:pPr>
            <w:r>
              <w:rPr>
                <w:rFonts w:hint="eastAsia"/>
                <w:b/>
                <w:bCs/>
              </w:rPr>
              <w:t>（一）施工期生产工艺流程和产污环节分析</w:t>
            </w:r>
          </w:p>
          <w:p>
            <w:r>
              <w:drawing>
                <wp:inline distT="0" distB="0" distL="0" distR="0">
                  <wp:extent cx="4867910" cy="1056640"/>
                  <wp:effectExtent l="0" t="0" r="889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71891" cy="1079523"/>
                          </a:xfrm>
                          <a:prstGeom prst="rect">
                            <a:avLst/>
                          </a:prstGeom>
                          <a:noFill/>
                        </pic:spPr>
                      </pic:pic>
                    </a:graphicData>
                  </a:graphic>
                </wp:inline>
              </w:drawing>
            </w:r>
          </w:p>
          <w:p>
            <w:pPr>
              <w:pStyle w:val="28"/>
            </w:pPr>
            <w:r>
              <w:rPr>
                <w:rFonts w:hint="eastAsia"/>
              </w:rPr>
              <w:t>图</w:t>
            </w:r>
            <w:r>
              <w:t>2-</w:t>
            </w:r>
            <w:r>
              <w:rPr>
                <w:lang w:val="en-US"/>
              </w:rPr>
              <w:t>2</w:t>
            </w:r>
            <w:r>
              <w:t xml:space="preserve">  </w:t>
            </w:r>
            <w:r>
              <w:rPr>
                <w:rFonts w:hint="eastAsia"/>
              </w:rPr>
              <w:t>施工期工艺流程图</w:t>
            </w:r>
          </w:p>
          <w:p>
            <w:pPr>
              <w:ind w:firstLine="480" w:firstLineChars="200"/>
            </w:pPr>
            <w:r>
              <w:rPr>
                <w:rFonts w:hint="eastAsia"/>
              </w:rPr>
              <w:t>场地平整：对拟建场地进行初步平整，为后期建设制造有利条件。此过程有废气、噪音和建筑废料的产生。</w:t>
            </w:r>
          </w:p>
          <w:p>
            <w:pPr>
              <w:ind w:firstLine="480" w:firstLineChars="200"/>
            </w:pPr>
            <w:r>
              <w:rPr>
                <w:rFonts w:hint="eastAsia"/>
              </w:rPr>
              <w:t>土建工程：主要包括基础工程及主体工程，建设各拟建厂房、办公楼等构筑物。此过程有废气、噪音和建筑废料的产生。</w:t>
            </w:r>
          </w:p>
          <w:p>
            <w:pPr>
              <w:ind w:firstLine="480" w:firstLineChars="200"/>
            </w:pPr>
            <w:r>
              <w:rPr>
                <w:rFonts w:hint="eastAsia"/>
              </w:rPr>
              <w:t>装饰工程：对厂房进行装修工作，此过程主要产生废包装材料、噪声以及扬尘的产生。</w:t>
            </w:r>
          </w:p>
          <w:p>
            <w:pPr>
              <w:ind w:firstLine="480" w:firstLineChars="200"/>
            </w:pPr>
            <w:r>
              <w:rPr>
                <w:rFonts w:hint="eastAsia"/>
              </w:rPr>
              <w:t>安装工程：将各生产设备安装至各厂房内。此过程有噪声、扬尘的产生。</w:t>
            </w:r>
          </w:p>
          <w:p>
            <w:pPr>
              <w:ind w:firstLine="480" w:firstLineChars="200"/>
            </w:pPr>
            <w:r>
              <w:rPr>
                <w:rFonts w:hint="eastAsia"/>
              </w:rPr>
              <w:t>工程验收：对各设备参数进行调试使其能够稳定运行，调试完成后可开展工程验收相关工作。</w:t>
            </w:r>
          </w:p>
          <w:p>
            <w:pPr>
              <w:rPr>
                <w:b/>
                <w:bCs/>
              </w:rPr>
            </w:pPr>
            <w:r>
              <w:rPr>
                <w:rFonts w:hint="eastAsia"/>
                <w:b/>
                <w:bCs/>
              </w:rPr>
              <w:t>（二）运营期生产工艺流程</w:t>
            </w:r>
          </w:p>
          <w:p>
            <w:pPr>
              <w:pStyle w:val="2"/>
            </w:pPr>
            <w:r>
              <w:rPr>
                <w:rFonts w:hint="eastAsia"/>
              </w:rPr>
              <w:t>①重晶石矿加工生产工艺流程</w:t>
            </w:r>
          </w:p>
          <w:p>
            <w:pPr>
              <w:jc w:val="center"/>
              <w:rPr>
                <w:b/>
                <w:bCs/>
              </w:rPr>
            </w:pPr>
            <w:r>
              <w:drawing>
                <wp:inline distT="0" distB="0" distL="114300" distR="114300">
                  <wp:extent cx="4123055" cy="569404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4154581" cy="5737536"/>
                          </a:xfrm>
                          <a:prstGeom prst="rect">
                            <a:avLst/>
                          </a:prstGeom>
                          <a:noFill/>
                          <a:ln>
                            <a:noFill/>
                          </a:ln>
                        </pic:spPr>
                      </pic:pic>
                    </a:graphicData>
                  </a:graphic>
                </wp:inline>
              </w:drawing>
            </w:r>
          </w:p>
          <w:p>
            <w:pPr>
              <w:pStyle w:val="28"/>
              <w:rPr>
                <w:lang w:val="en-US"/>
              </w:rPr>
            </w:pPr>
            <w:r>
              <w:rPr>
                <w:rFonts w:hint="eastAsia"/>
              </w:rPr>
              <w:t>图2-</w:t>
            </w:r>
            <w:r>
              <w:rPr>
                <w:lang w:val="en-US"/>
              </w:rPr>
              <w:t>3</w:t>
            </w:r>
            <w:r>
              <w:rPr>
                <w:rFonts w:hint="eastAsia"/>
              </w:rPr>
              <w:t xml:space="preserve">  重晶石矿加工生产工艺流程及产污环节图</w:t>
            </w:r>
          </w:p>
          <w:p>
            <w:r>
              <w:rPr>
                <w:rFonts w:hint="eastAsia"/>
              </w:rPr>
              <w:t>工艺流程简述：</w:t>
            </w:r>
          </w:p>
          <w:p>
            <w:pPr>
              <w:ind w:firstLine="480" w:firstLineChars="200"/>
            </w:pPr>
            <w:r>
              <w:rPr>
                <w:rFonts w:hint="eastAsia"/>
              </w:rPr>
              <w:t>（1）原料堆存：重晶石矿石原料利用车辆将物料从矿山运至项目地，并堆放于本项目原料堆场，物料装卸级堆存过程将产生粉尘，物料堆放时采用防尘网遮盖并设置围挡，且物料装卸料时采用喷雾降尘装置；</w:t>
            </w:r>
          </w:p>
          <w:p>
            <w:pPr>
              <w:ind w:firstLine="480" w:firstLineChars="200"/>
            </w:pPr>
            <w:r>
              <w:rPr>
                <w:rFonts w:hint="eastAsia"/>
              </w:rPr>
              <w:t>（2）上料：原料通过铲车运送到生产线的上料仓，然后输送至破碎机，该过程主要产生粉尘和噪声，上料仓位于封闭的生产车间内，可有效治理上料粉尘；</w:t>
            </w:r>
          </w:p>
          <w:p>
            <w:pPr>
              <w:ind w:firstLine="480" w:firstLineChars="200"/>
            </w:pPr>
            <w:r>
              <w:rPr>
                <w:rFonts w:hint="eastAsia"/>
              </w:rPr>
              <w:t>（2）破碎：采用装载机将所有物料运送至加工车间颚式破碎机粉碎，经破碎至所需粒度后，物料从下方出口滑落至筛分机，该工序产生粉尘、噪声，由于破碎后矿石呈块状物料，破碎工序位于全封闭生产车间，车间顶部配备喷淋装置，粉尘通过集气罩收集至袋式除尘器处理，经处理后于15m高排气筒（DA001）排放；</w:t>
            </w:r>
          </w:p>
          <w:p>
            <w:pPr>
              <w:ind w:firstLine="480" w:firstLineChars="200"/>
            </w:pPr>
            <w:r>
              <w:rPr>
                <w:rFonts w:hint="eastAsia"/>
              </w:rPr>
              <w:t>（3）筛分：物料经过筛分后，符合要求的物料可从通过筛分机进入下一道工序，不合格的物料经收集后返回破碎机重新破碎，筛分过程中产生粉尘、噪声，筛分工序位于全封闭生产车间，车间顶部配备喷淋装置，粉尘通过集气罩收集至袋式除尘器处理，经处理后于15m高排气筒（DA001）排放；</w:t>
            </w:r>
          </w:p>
          <w:p>
            <w:pPr>
              <w:ind w:firstLine="480" w:firstLineChars="200"/>
            </w:pPr>
            <w:r>
              <w:rPr>
                <w:rFonts w:hint="eastAsia"/>
              </w:rPr>
              <w:t>（4）研磨、分选：研磨机半地下式设置。物料进入研磨机后即开始研磨，粉磨后的重晶石粉被风机气流带走，粉料随气流经管道进入旋风收集器内，粒径合格的产品从旋风收集器下方出口处排出，粒径较小的粉尘从旋风收集器上方通过风管进入袋式除尘器，该工序主要产生噪声、粉尘，研磨分选工序位于全封闭生产车间，车间顶部配备喷淋装置，粉尘通过集气罩收集至袋式除尘器处理，经处理后于15m高排气筒（DA002）排放；</w:t>
            </w:r>
          </w:p>
          <w:p>
            <w:pPr>
              <w:ind w:firstLine="480" w:firstLineChars="200"/>
            </w:pPr>
            <w:r>
              <w:rPr>
                <w:rFonts w:hint="eastAsia"/>
              </w:rPr>
              <w:t>（5）检验：在产品包装前需要取少量产品送入化验室进行粒径、比重等物理性检验，根据企业提供的资料，预计每批次抽检约1.5kg产品，经过检验的产品在化验室内晾干后，重新倒入产品内；</w:t>
            </w:r>
          </w:p>
          <w:p>
            <w:pPr>
              <w:ind w:firstLine="480" w:firstLineChars="200"/>
            </w:pPr>
            <w:r>
              <w:rPr>
                <w:rFonts w:hint="eastAsia"/>
              </w:rPr>
              <w:t>（6）重晶石粉打包入库：将提前配制好的活化粉浆液均匀的撒至重晶石粉的表面，再将产品装入包装袋，经打包机打包后由叉车运至成品库房暂存定期外售；</w:t>
            </w:r>
          </w:p>
          <w:p>
            <w:pPr>
              <w:ind w:firstLine="480" w:firstLineChars="200"/>
            </w:pPr>
            <w:r>
              <w:rPr>
                <w:rFonts w:hint="eastAsia"/>
              </w:rPr>
              <w:t>（7）混合搅拌：</w:t>
            </w:r>
            <w:r>
              <w:t>选用经检核合格的重晶石粉与水泥</w:t>
            </w:r>
            <w:r>
              <w:rPr>
                <w:rFonts w:hint="eastAsia"/>
              </w:rPr>
              <w:t>、混</w:t>
            </w:r>
            <w:r>
              <w:t>合搅拌</w:t>
            </w:r>
            <w:r>
              <w:rPr>
                <w:rFonts w:hint="eastAsia"/>
              </w:rPr>
              <w:t>均匀，搅拌完成后可用于制造防辐射预制品，该工序产生废气、噪声，搅拌装置位于封闭的生产车间内，可有效治理搅拌粉尘；</w:t>
            </w:r>
          </w:p>
          <w:p>
            <w:pPr>
              <w:ind w:firstLine="480" w:firstLineChars="200"/>
            </w:pPr>
            <w:r>
              <w:rPr>
                <w:rFonts w:hint="eastAsia"/>
              </w:rPr>
              <w:t>（8）压实、成型：将混合搅拌均匀的物料导入模具内压实、定型；</w:t>
            </w:r>
          </w:p>
          <w:p>
            <w:pPr>
              <w:ind w:firstLine="480" w:firstLineChars="200"/>
            </w:pPr>
            <w:r>
              <w:rPr>
                <w:rFonts w:hint="eastAsia"/>
              </w:rPr>
              <w:t>（9）防辐射预制品：预制品成型后即可拆去模具，放置于库房内自然风干，外售；</w:t>
            </w:r>
          </w:p>
          <w:p>
            <w:pPr>
              <w:pStyle w:val="2"/>
              <w:ind w:firstLine="480" w:firstLineChars="200"/>
              <w:rPr>
                <w:rFonts w:ascii="Times New Roman" w:hAnsi="Times New Roman" w:eastAsiaTheme="minorEastAsia" w:cstheme="minorBidi"/>
                <w:b w:val="0"/>
                <w:bCs w:val="0"/>
                <w:szCs w:val="22"/>
              </w:rPr>
            </w:pPr>
            <w:r>
              <w:rPr>
                <w:rFonts w:hint="eastAsia" w:ascii="Times New Roman" w:hAnsi="Times New Roman" w:eastAsiaTheme="minorEastAsia" w:cstheme="minorBidi"/>
                <w:b w:val="0"/>
                <w:bCs w:val="0"/>
                <w:szCs w:val="22"/>
              </w:rPr>
              <w:t>本项目设备、机械均由设备厂家提供保养、维护服务，故本项目运营期，设备临时检修等情况会产生的危险废物量很小。</w:t>
            </w:r>
          </w:p>
          <w:p>
            <w:pPr>
              <w:ind w:firstLine="482" w:firstLineChars="200"/>
              <w:rPr>
                <w:b/>
                <w:bCs/>
              </w:rPr>
            </w:pPr>
            <w:r>
              <w:rPr>
                <w:rFonts w:hint="eastAsia"/>
                <w:b/>
                <w:bCs/>
              </w:rPr>
              <w:t>②石英石矿加工生产工艺流程</w:t>
            </w:r>
          </w:p>
          <w:p>
            <w:pPr>
              <w:jc w:val="center"/>
            </w:pPr>
            <w:r>
              <w:drawing>
                <wp:inline distT="0" distB="0" distL="114300" distR="114300">
                  <wp:extent cx="2863215" cy="367538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2876309" cy="3692688"/>
                          </a:xfrm>
                          <a:prstGeom prst="rect">
                            <a:avLst/>
                          </a:prstGeom>
                          <a:noFill/>
                          <a:ln>
                            <a:noFill/>
                          </a:ln>
                        </pic:spPr>
                      </pic:pic>
                    </a:graphicData>
                  </a:graphic>
                </wp:inline>
              </w:drawing>
            </w:r>
          </w:p>
          <w:p>
            <w:pPr>
              <w:pStyle w:val="28"/>
            </w:pPr>
            <w:r>
              <w:rPr>
                <w:rFonts w:hint="eastAsia"/>
              </w:rPr>
              <w:t>图2-</w:t>
            </w:r>
            <w:r>
              <w:rPr>
                <w:lang w:val="en-US"/>
              </w:rPr>
              <w:t>4</w:t>
            </w:r>
            <w:r>
              <w:rPr>
                <w:rFonts w:hint="eastAsia"/>
              </w:rPr>
              <w:t xml:space="preserve">  石英石矿加工生产工艺流程及产污环节图</w:t>
            </w:r>
          </w:p>
          <w:p>
            <w:pPr>
              <w:ind w:firstLine="480" w:firstLineChars="200"/>
            </w:pPr>
            <w:r>
              <w:rPr>
                <w:rFonts w:hint="eastAsia"/>
              </w:rPr>
              <w:t>工艺流程简述：</w:t>
            </w:r>
          </w:p>
          <w:p>
            <w:pPr>
              <w:ind w:firstLine="480" w:firstLineChars="200"/>
            </w:pPr>
            <w:r>
              <w:rPr>
                <w:rFonts w:hint="eastAsia"/>
              </w:rPr>
              <w:t>本项目石英砂生产工艺过程与重晶石生产工艺类似，石英石矿石从矿山购置，通过车辆将矿石运送至堆场内，矿石原料通过给料机将物料投入一次破碎机内进行破碎，破碎完成后进入振动筛进行初步筛分，不合格的物料返回一次破碎机重新破碎，可过筛的物料进入二次破碎机进行二次破碎，破碎完成后进行二次筛分，石英砂加工生产线选用的破碎机、筛分机均为可调机械，可通过调节内部配件以决定出料粒径大小，二次筛分完成后的符合粒径大小的物料即为产品石英砂，不符合粒径大小的返回破碎工序，石英砂生产工序主要产生噪声、粉尘，各生产设备均位于全封闭生产车间，车间顶部配备喷淋装置，粉尘通过集气罩收集至袋式除尘器处理，经处理后于15m高排气筒（DA003）排放。</w:t>
            </w:r>
          </w:p>
          <w:p>
            <w:pPr>
              <w:rPr>
                <w:b/>
                <w:bCs/>
              </w:rPr>
            </w:pPr>
            <w:r>
              <w:rPr>
                <w:rFonts w:hint="eastAsia"/>
                <w:b/>
                <w:bCs/>
              </w:rPr>
              <w:t>（三）产排污环节</w:t>
            </w:r>
          </w:p>
          <w:p>
            <w:pPr>
              <w:ind w:firstLine="480" w:firstLineChars="200"/>
            </w:pPr>
            <w:r>
              <w:rPr>
                <w:rFonts w:hint="eastAsia"/>
              </w:rPr>
              <w:t>根据工程运行工艺及产污环节分析，本项目运营过程中产生的污染物包括废气、废水、噪声和固废，其具体产生类型及产生来源情况见下表2-</w:t>
            </w:r>
            <w:r>
              <w:t>6</w:t>
            </w:r>
            <w:r>
              <w:rPr>
                <w:rFonts w:hint="eastAsia"/>
              </w:rPr>
              <w:t>。</w:t>
            </w:r>
          </w:p>
          <w:p>
            <w:pPr>
              <w:pStyle w:val="28"/>
            </w:pPr>
            <w:r>
              <w:rPr>
                <w:rFonts w:hint="eastAsia"/>
              </w:rPr>
              <w:t>表2</w:t>
            </w:r>
            <w:r>
              <w:t xml:space="preserve">-6 </w:t>
            </w:r>
            <w:r>
              <w:rPr>
                <w:rFonts w:hint="eastAsia"/>
              </w:rPr>
              <w:t xml:space="preserve"> 各生产工序及产污环节一览表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52"/>
              <w:gridCol w:w="1742"/>
              <w:gridCol w:w="1742"/>
              <w:gridCol w:w="1187"/>
              <w:gridCol w:w="2231"/>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Align w:val="center"/>
                </w:tcPr>
                <w:p>
                  <w:pPr>
                    <w:pStyle w:val="27"/>
                    <w:jc w:val="center"/>
                    <w:rPr>
                      <w:rFonts w:eastAsia="宋体" w:cs="Times New Roman"/>
                      <w:b/>
                      <w:bCs/>
                      <w:kern w:val="0"/>
                      <w:szCs w:val="21"/>
                    </w:rPr>
                  </w:pPr>
                  <w:r>
                    <w:rPr>
                      <w:rFonts w:hint="eastAsia" w:eastAsia="宋体" w:cs="Times New Roman"/>
                      <w:b/>
                      <w:bCs/>
                      <w:kern w:val="0"/>
                      <w:szCs w:val="21"/>
                    </w:rPr>
                    <w:t>类别</w:t>
                  </w:r>
                </w:p>
              </w:tc>
              <w:tc>
                <w:tcPr>
                  <w:tcW w:w="2246" w:type="pct"/>
                  <w:gridSpan w:val="2"/>
                  <w:vAlign w:val="center"/>
                </w:tcPr>
                <w:p>
                  <w:pPr>
                    <w:pStyle w:val="27"/>
                    <w:jc w:val="center"/>
                    <w:rPr>
                      <w:rFonts w:eastAsia="宋体" w:cs="Times New Roman"/>
                      <w:b/>
                      <w:bCs/>
                      <w:kern w:val="0"/>
                      <w:szCs w:val="21"/>
                    </w:rPr>
                  </w:pPr>
                  <w:r>
                    <w:rPr>
                      <w:rFonts w:hint="eastAsia" w:eastAsia="宋体" w:cs="Times New Roman"/>
                      <w:b/>
                      <w:bCs/>
                      <w:kern w:val="0"/>
                      <w:szCs w:val="21"/>
                    </w:rPr>
                    <w:t>产污环节</w:t>
                  </w:r>
                </w:p>
              </w:tc>
              <w:tc>
                <w:tcPr>
                  <w:tcW w:w="765" w:type="pct"/>
                  <w:vAlign w:val="center"/>
                </w:tcPr>
                <w:p>
                  <w:pPr>
                    <w:pStyle w:val="27"/>
                    <w:jc w:val="center"/>
                    <w:rPr>
                      <w:rFonts w:eastAsia="宋体" w:cs="Times New Roman"/>
                      <w:b/>
                      <w:bCs/>
                      <w:kern w:val="0"/>
                      <w:szCs w:val="21"/>
                    </w:rPr>
                  </w:pPr>
                  <w:r>
                    <w:rPr>
                      <w:rFonts w:hint="eastAsia" w:eastAsia="宋体" w:cs="Times New Roman"/>
                      <w:b/>
                      <w:bCs/>
                      <w:kern w:val="0"/>
                      <w:szCs w:val="21"/>
                    </w:rPr>
                    <w:t>污染类别</w:t>
                  </w:r>
                </w:p>
              </w:tc>
              <w:tc>
                <w:tcPr>
                  <w:tcW w:w="1438" w:type="pct"/>
                  <w:vAlign w:val="center"/>
                </w:tcPr>
                <w:p>
                  <w:pPr>
                    <w:pStyle w:val="27"/>
                    <w:jc w:val="center"/>
                    <w:rPr>
                      <w:rFonts w:eastAsia="宋体" w:cs="Times New Roman"/>
                      <w:b/>
                      <w:bCs/>
                      <w:kern w:val="0"/>
                      <w:szCs w:val="21"/>
                    </w:rPr>
                  </w:pPr>
                  <w:r>
                    <w:rPr>
                      <w:rFonts w:hint="eastAsia" w:eastAsia="宋体" w:cs="Times New Roman"/>
                      <w:b/>
                      <w:bCs/>
                      <w:kern w:val="0"/>
                      <w:szCs w:val="21"/>
                    </w:rPr>
                    <w:t>污染因子</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restart"/>
                  <w:vAlign w:val="center"/>
                </w:tcPr>
                <w:p>
                  <w:pPr>
                    <w:pStyle w:val="27"/>
                    <w:jc w:val="center"/>
                    <w:rPr>
                      <w:rFonts w:eastAsia="宋体" w:cs="Times New Roman"/>
                      <w:kern w:val="0"/>
                      <w:szCs w:val="21"/>
                    </w:rPr>
                  </w:pPr>
                  <w:r>
                    <w:rPr>
                      <w:rFonts w:hint="eastAsia" w:eastAsia="宋体" w:cs="Times New Roman"/>
                      <w:kern w:val="0"/>
                      <w:szCs w:val="21"/>
                    </w:rPr>
                    <w:t>废气</w:t>
                  </w:r>
                </w:p>
              </w:tc>
              <w:tc>
                <w:tcPr>
                  <w:tcW w:w="1123" w:type="pct"/>
                  <w:vMerge w:val="restart"/>
                  <w:vAlign w:val="center"/>
                </w:tcPr>
                <w:p>
                  <w:pPr>
                    <w:pStyle w:val="27"/>
                    <w:jc w:val="center"/>
                    <w:rPr>
                      <w:rFonts w:eastAsia="宋体" w:cs="Times New Roman"/>
                      <w:kern w:val="0"/>
                      <w:szCs w:val="21"/>
                    </w:rPr>
                  </w:pPr>
                  <w:r>
                    <w:rPr>
                      <w:rFonts w:hint="eastAsia" w:eastAsia="宋体" w:cs="Times New Roman"/>
                      <w:kern w:val="0"/>
                      <w:szCs w:val="21"/>
                    </w:rPr>
                    <w:t>重晶石矿加工生产线</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道路运输</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原料堆存、上料</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破碎</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振动筛分</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研磨分选</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混合搅拌</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水泥筒仓</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restart"/>
                  <w:vAlign w:val="center"/>
                </w:tcPr>
                <w:p>
                  <w:pPr>
                    <w:pStyle w:val="27"/>
                    <w:jc w:val="center"/>
                    <w:rPr>
                      <w:rFonts w:eastAsia="宋体" w:cs="Times New Roman"/>
                      <w:kern w:val="0"/>
                      <w:szCs w:val="21"/>
                    </w:rPr>
                  </w:pPr>
                  <w:r>
                    <w:rPr>
                      <w:rFonts w:hint="eastAsia" w:eastAsia="宋体" w:cs="Times New Roman"/>
                      <w:kern w:val="0"/>
                      <w:szCs w:val="21"/>
                    </w:rPr>
                    <w:t>石英石矿加工生产线</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上料</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破碎</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筛分</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粉尘</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颗粒物</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restart"/>
                  <w:vAlign w:val="center"/>
                </w:tcPr>
                <w:p>
                  <w:pPr>
                    <w:pStyle w:val="27"/>
                    <w:jc w:val="center"/>
                    <w:rPr>
                      <w:rFonts w:eastAsia="宋体" w:cs="Times New Roman"/>
                      <w:kern w:val="0"/>
                      <w:szCs w:val="21"/>
                    </w:rPr>
                  </w:pPr>
                  <w:r>
                    <w:rPr>
                      <w:rFonts w:hint="eastAsia" w:eastAsia="宋体" w:cs="Times New Roman"/>
                      <w:kern w:val="0"/>
                      <w:szCs w:val="21"/>
                    </w:rPr>
                    <w:t>废水</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车辆冲洗</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车辆冲洗废水</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SS</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SS</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职工生活</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职工生活</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生活污水</w:t>
                  </w:r>
                </w:p>
              </w:tc>
              <w:tc>
                <w:tcPr>
                  <w:tcW w:w="1438" w:type="pct"/>
                  <w:vAlign w:val="center"/>
                </w:tcPr>
                <w:p>
                  <w:pPr>
                    <w:pStyle w:val="27"/>
                    <w:jc w:val="center"/>
                    <w:rPr>
                      <w:rFonts w:eastAsia="宋体" w:cs="Times New Roman"/>
                      <w:kern w:val="0"/>
                      <w:szCs w:val="21"/>
                    </w:rPr>
                  </w:pPr>
                  <w:r>
                    <w:rPr>
                      <w:rFonts w:eastAsia="宋体" w:cs="Times New Roman"/>
                      <w:kern w:val="0"/>
                      <w:szCs w:val="21"/>
                    </w:rPr>
                    <w:t>pH</w:t>
                  </w:r>
                  <w:r>
                    <w:rPr>
                      <w:rFonts w:hint="eastAsia" w:eastAsia="宋体" w:cs="Times New Roman"/>
                      <w:kern w:val="0"/>
                      <w:szCs w:val="21"/>
                    </w:rPr>
                    <w:t>、BOD</w:t>
                  </w:r>
                  <w:r>
                    <w:rPr>
                      <w:rFonts w:eastAsia="宋体" w:cs="Times New Roman"/>
                      <w:kern w:val="0"/>
                      <w:szCs w:val="21"/>
                      <w:vertAlign w:val="subscript"/>
                    </w:rPr>
                    <w:t>5</w:t>
                  </w:r>
                  <w:r>
                    <w:rPr>
                      <w:rFonts w:hint="eastAsia" w:eastAsia="宋体" w:cs="Times New Roman"/>
                      <w:kern w:val="0"/>
                      <w:szCs w:val="21"/>
                    </w:rPr>
                    <w:t>、COD、NH</w:t>
                  </w:r>
                  <w:r>
                    <w:rPr>
                      <w:rFonts w:hint="eastAsia" w:eastAsia="宋体" w:cs="Times New Roman"/>
                      <w:kern w:val="0"/>
                      <w:szCs w:val="21"/>
                      <w:vertAlign w:val="subscript"/>
                    </w:rPr>
                    <w:t>3</w:t>
                  </w:r>
                  <w:r>
                    <w:rPr>
                      <w:rFonts w:hint="eastAsia" w:eastAsia="宋体" w:cs="Times New Roman"/>
                      <w:kern w:val="0"/>
                      <w:szCs w:val="21"/>
                    </w:rPr>
                    <w:t>-N等</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Align w:val="center"/>
                </w:tcPr>
                <w:p>
                  <w:pPr>
                    <w:pStyle w:val="27"/>
                    <w:jc w:val="center"/>
                    <w:rPr>
                      <w:rFonts w:eastAsia="宋体" w:cs="Times New Roman"/>
                      <w:kern w:val="0"/>
                      <w:szCs w:val="21"/>
                    </w:rPr>
                  </w:pPr>
                  <w:r>
                    <w:rPr>
                      <w:rFonts w:hint="eastAsia" w:eastAsia="宋体" w:cs="Times New Roman"/>
                      <w:kern w:val="0"/>
                      <w:szCs w:val="21"/>
                    </w:rPr>
                    <w:t>噪声</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各类设备</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设备运行</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设备噪声</w:t>
                  </w:r>
                </w:p>
              </w:tc>
              <w:tc>
                <w:tcPr>
                  <w:tcW w:w="1438" w:type="pct"/>
                  <w:vAlign w:val="center"/>
                </w:tcPr>
                <w:p>
                  <w:pPr>
                    <w:pStyle w:val="27"/>
                    <w:jc w:val="center"/>
                    <w:rPr>
                      <w:rFonts w:eastAsia="宋体" w:cs="Times New Roman"/>
                      <w:kern w:val="0"/>
                      <w:sz w:val="20"/>
                      <w:szCs w:val="21"/>
                    </w:rPr>
                  </w:pPr>
                  <w:r>
                    <w:rPr>
                      <w:rFonts w:eastAsia="宋体" w:cs="Times New Roman"/>
                      <w:kern w:val="0"/>
                      <w:szCs w:val="21"/>
                    </w:rPr>
                    <w:t>dB(A)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restart"/>
                  <w:vAlign w:val="center"/>
                </w:tcPr>
                <w:p>
                  <w:pPr>
                    <w:pStyle w:val="27"/>
                    <w:jc w:val="center"/>
                    <w:rPr>
                      <w:rFonts w:eastAsia="宋体" w:cs="Times New Roman"/>
                      <w:kern w:val="0"/>
                      <w:szCs w:val="21"/>
                    </w:rPr>
                  </w:pPr>
                  <w:r>
                    <w:rPr>
                      <w:rFonts w:hint="eastAsia" w:eastAsia="宋体" w:cs="Times New Roman"/>
                      <w:kern w:val="0"/>
                      <w:szCs w:val="21"/>
                    </w:rPr>
                    <w:t>固体废物</w:t>
                  </w:r>
                </w:p>
              </w:tc>
              <w:tc>
                <w:tcPr>
                  <w:tcW w:w="1123" w:type="pct"/>
                  <w:vMerge w:val="restart"/>
                  <w:vAlign w:val="center"/>
                </w:tcPr>
                <w:p>
                  <w:pPr>
                    <w:pStyle w:val="27"/>
                    <w:jc w:val="center"/>
                    <w:rPr>
                      <w:rFonts w:eastAsia="宋体" w:cs="Times New Roman"/>
                      <w:kern w:val="0"/>
                      <w:szCs w:val="21"/>
                    </w:rPr>
                  </w:pPr>
                  <w:r>
                    <w:rPr>
                      <w:rFonts w:hint="eastAsia" w:eastAsia="宋体" w:cs="Times New Roman"/>
                      <w:kern w:val="0"/>
                      <w:szCs w:val="21"/>
                    </w:rPr>
                    <w:t>生产车间</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不合格物料</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一般固废</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一般固废</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除尘装置收集的粉尘</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一般固废</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一般固废</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车辆冲洗</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沉淀池泥沙</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一般固废</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一般固废</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职工生活</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员工生活垃圾</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一般固废</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一般固废</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49" w:type="pct"/>
                  <w:vMerge w:val="continue"/>
                  <w:vAlign w:val="center"/>
                </w:tcPr>
                <w:p>
                  <w:pPr>
                    <w:pStyle w:val="27"/>
                    <w:jc w:val="center"/>
                    <w:rPr>
                      <w:rFonts w:eastAsia="宋体" w:cs="Times New Roman"/>
                      <w:kern w:val="0"/>
                      <w:szCs w:val="21"/>
                    </w:rPr>
                  </w:pP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设备检修</w:t>
                  </w:r>
                </w:p>
              </w:tc>
              <w:tc>
                <w:tcPr>
                  <w:tcW w:w="1123" w:type="pct"/>
                  <w:vAlign w:val="center"/>
                </w:tcPr>
                <w:p>
                  <w:pPr>
                    <w:pStyle w:val="27"/>
                    <w:jc w:val="center"/>
                    <w:rPr>
                      <w:rFonts w:eastAsia="宋体" w:cs="Times New Roman"/>
                      <w:kern w:val="0"/>
                      <w:szCs w:val="21"/>
                    </w:rPr>
                  </w:pPr>
                  <w:r>
                    <w:rPr>
                      <w:rFonts w:hint="eastAsia" w:eastAsia="宋体" w:cs="Times New Roman"/>
                      <w:kern w:val="0"/>
                      <w:szCs w:val="21"/>
                    </w:rPr>
                    <w:t>设备临时检修</w:t>
                  </w:r>
                </w:p>
              </w:tc>
              <w:tc>
                <w:tcPr>
                  <w:tcW w:w="765" w:type="pct"/>
                  <w:vAlign w:val="center"/>
                </w:tcPr>
                <w:p>
                  <w:pPr>
                    <w:pStyle w:val="27"/>
                    <w:jc w:val="center"/>
                    <w:rPr>
                      <w:rFonts w:eastAsia="宋体" w:cs="Times New Roman"/>
                      <w:kern w:val="0"/>
                      <w:szCs w:val="21"/>
                    </w:rPr>
                  </w:pPr>
                  <w:r>
                    <w:rPr>
                      <w:rFonts w:hint="eastAsia" w:eastAsia="宋体" w:cs="Times New Roman"/>
                      <w:kern w:val="0"/>
                      <w:szCs w:val="21"/>
                    </w:rPr>
                    <w:t>危险废物</w:t>
                  </w:r>
                </w:p>
              </w:tc>
              <w:tc>
                <w:tcPr>
                  <w:tcW w:w="1438" w:type="pct"/>
                  <w:vAlign w:val="center"/>
                </w:tcPr>
                <w:p>
                  <w:pPr>
                    <w:pStyle w:val="27"/>
                    <w:jc w:val="center"/>
                    <w:rPr>
                      <w:rFonts w:eastAsia="宋体" w:cs="Times New Roman"/>
                      <w:kern w:val="0"/>
                      <w:szCs w:val="21"/>
                    </w:rPr>
                  </w:pPr>
                  <w:r>
                    <w:rPr>
                      <w:rFonts w:hint="eastAsia" w:eastAsia="宋体" w:cs="Times New Roman"/>
                      <w:kern w:val="0"/>
                      <w:szCs w:val="21"/>
                    </w:rPr>
                    <w:t>废抹布、废机油等</w:t>
                  </w:r>
                </w:p>
              </w:tc>
            </w:tr>
          </w:tbl>
          <w:p>
            <w:pPr>
              <w:ind w:firstLine="480" w:firstLineChars="200"/>
            </w:pPr>
            <w:r>
              <w:rPr>
                <w:rFonts w:hint="eastAsia"/>
              </w:rPr>
              <w:t>本项目化验室主要对重晶石粉进行粒径、比重等物理性检验，每批次生产抽检量约为1.5kg产品，检验完成后，将样品晾干再重新倒入产品内。化验室内产排污环节简单，污染物产生与排放量很小，故本次评价可忽略。</w:t>
            </w:r>
          </w:p>
          <w:p>
            <w:pPr>
              <w:pStyle w:val="2"/>
              <w:ind w:firstLine="480" w:firstLineChars="200"/>
              <w:rPr>
                <w:rFonts w:ascii="Times New Roman" w:hAnsi="Times New Roman" w:eastAsiaTheme="minorEastAsia" w:cstheme="minorBidi"/>
                <w:b w:val="0"/>
                <w:bCs w:val="0"/>
                <w:szCs w:val="22"/>
              </w:rPr>
            </w:pPr>
            <w:r>
              <w:rPr>
                <w:rFonts w:hint="eastAsia" w:ascii="Times New Roman" w:hAnsi="Times New Roman" w:eastAsiaTheme="minorEastAsia" w:cstheme="minorBidi"/>
                <w:b w:val="0"/>
                <w:bCs w:val="0"/>
                <w:szCs w:val="22"/>
              </w:rPr>
              <w:t>本项目的设备、机械均由设备厂家提供定期保养、维护服务，设备临时检修等情况会产生的危险废物量很小。</w:t>
            </w:r>
          </w:p>
          <w:p>
            <w:pPr>
              <w:pStyle w:val="2"/>
              <w:ind w:firstLine="480" w:firstLineChars="200"/>
              <w:rPr>
                <w:rFonts w:ascii="Times New Roman" w:hAnsi="Times New Roman" w:eastAsiaTheme="minorEastAsia" w:cstheme="minorBidi"/>
                <w:b w:val="0"/>
                <w:bCs w:val="0"/>
                <w:szCs w:val="22"/>
              </w:rPr>
            </w:pPr>
          </w:p>
          <w:p>
            <w:pPr>
              <w:pStyle w:val="2"/>
              <w:ind w:firstLine="482"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3" w:hRule="atLeast"/>
          <w:jc w:val="center"/>
        </w:trPr>
        <w:tc>
          <w:tcPr>
            <w:tcW w:w="675" w:type="dxa"/>
            <w:vAlign w:val="center"/>
          </w:tcPr>
          <w:p>
            <w:pPr>
              <w:spacing w:line="240" w:lineRule="auto"/>
              <w:jc w:val="center"/>
              <w:rPr>
                <w:b/>
                <w:bCs/>
              </w:rPr>
            </w:pPr>
            <w:r>
              <w:rPr>
                <w:rFonts w:hint="eastAsia"/>
                <w:b/>
                <w:bCs/>
              </w:rPr>
              <w:t>与项目有关的原有环境污染问题</w:t>
            </w:r>
          </w:p>
        </w:tc>
        <w:tc>
          <w:tcPr>
            <w:tcW w:w="7847" w:type="dxa"/>
            <w:vAlign w:val="center"/>
          </w:tcPr>
          <w:p>
            <w:pPr>
              <w:ind w:firstLine="480" w:firstLineChars="200"/>
              <w:rPr>
                <w:szCs w:val="21"/>
              </w:rPr>
            </w:pPr>
            <w:r>
              <w:rPr>
                <w:rFonts w:hint="eastAsia"/>
              </w:rPr>
              <w:t>本项目位于安康市</w:t>
            </w:r>
            <w:r>
              <w:rPr>
                <w:rFonts w:hint="eastAsia"/>
                <w:szCs w:val="21"/>
              </w:rPr>
              <w:t>平利县莲花台村，经过现场踏勘，本项目所在地块以往主要用于农作物种植，未曾建设其他工业企业，故不存在与本项目有关的原有环境污染问题。</w:t>
            </w:r>
          </w:p>
        </w:tc>
      </w:tr>
    </w:tbl>
    <w:p>
      <w:pPr>
        <w:pStyle w:val="27"/>
      </w:pPr>
    </w:p>
    <w:p>
      <w:pPr>
        <w:pStyle w:val="27"/>
        <w:sectPr>
          <w:footerReference r:id="rId5" w:type="default"/>
          <w:footerReference r:id="rId6" w:type="even"/>
          <w:pgSz w:w="11906" w:h="16838"/>
          <w:pgMar w:top="1440" w:right="1800" w:bottom="1440" w:left="1800" w:header="851" w:footer="992" w:gutter="0"/>
          <w:pgNumType w:fmt="numberInDash" w:start="1"/>
          <w:cols w:space="425" w:num="1"/>
          <w:docGrid w:type="lines" w:linePitch="326" w:charSpace="0"/>
        </w:sectPr>
      </w:pPr>
    </w:p>
    <w:p>
      <w:pPr>
        <w:pStyle w:val="15"/>
      </w:pPr>
      <w:r>
        <w:rPr>
          <w:rFonts w:hint="eastAsia"/>
        </w:rPr>
        <w:t>三、区域环境质量现状</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7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479" w:type="pct"/>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区域</w:t>
            </w:r>
          </w:p>
          <w:p>
            <w:pPr>
              <w:adjustRightInd w:val="0"/>
              <w:snapToGrid w:val="0"/>
              <w:jc w:val="center"/>
              <w:rPr>
                <w:rFonts w:ascii="宋体" w:hAnsi="宋体" w:cs="宋体"/>
                <w:b/>
                <w:bCs/>
                <w:kern w:val="0"/>
                <w:szCs w:val="21"/>
              </w:rPr>
            </w:pPr>
            <w:r>
              <w:rPr>
                <w:rFonts w:hint="eastAsia" w:ascii="宋体" w:hAnsi="宋体" w:cs="宋体"/>
                <w:b/>
                <w:bCs/>
                <w:kern w:val="0"/>
                <w:szCs w:val="21"/>
              </w:rPr>
              <w:t>环境</w:t>
            </w:r>
          </w:p>
          <w:p>
            <w:pPr>
              <w:adjustRightInd w:val="0"/>
              <w:snapToGrid w:val="0"/>
              <w:jc w:val="center"/>
              <w:rPr>
                <w:rFonts w:ascii="宋体" w:hAnsi="宋体" w:cs="宋体"/>
                <w:b/>
                <w:bCs/>
                <w:kern w:val="0"/>
                <w:szCs w:val="21"/>
              </w:rPr>
            </w:pPr>
            <w:r>
              <w:rPr>
                <w:rFonts w:hint="eastAsia" w:ascii="宋体" w:hAnsi="宋体" w:cs="宋体"/>
                <w:b/>
                <w:bCs/>
                <w:kern w:val="0"/>
                <w:szCs w:val="21"/>
              </w:rPr>
              <w:t>质量</w:t>
            </w:r>
          </w:p>
          <w:p>
            <w:pPr>
              <w:adjustRightInd w:val="0"/>
              <w:snapToGrid w:val="0"/>
              <w:jc w:val="center"/>
              <w:rPr>
                <w:rFonts w:ascii="宋体" w:hAnsi="宋体" w:cs="宋体"/>
                <w:b/>
                <w:bCs/>
                <w:kern w:val="0"/>
                <w:szCs w:val="21"/>
              </w:rPr>
            </w:pPr>
            <w:r>
              <w:rPr>
                <w:rFonts w:hint="eastAsia" w:ascii="宋体" w:hAnsi="宋体" w:cs="宋体"/>
                <w:b/>
                <w:bCs/>
                <w:kern w:val="0"/>
                <w:szCs w:val="21"/>
              </w:rPr>
              <w:t>现状</w:t>
            </w:r>
          </w:p>
        </w:tc>
        <w:tc>
          <w:tcPr>
            <w:tcW w:w="4521" w:type="pct"/>
            <w:vAlign w:val="center"/>
          </w:tcPr>
          <w:p>
            <w:pPr>
              <w:pStyle w:val="61"/>
              <w:spacing w:line="360" w:lineRule="auto"/>
              <w:rPr>
                <w:b/>
                <w:bCs/>
              </w:rPr>
            </w:pPr>
            <w:r>
              <w:rPr>
                <w:rFonts w:hint="eastAsia"/>
                <w:b/>
                <w:bCs/>
              </w:rPr>
              <w:t>（一）大气环境</w:t>
            </w:r>
          </w:p>
          <w:p>
            <w:pPr>
              <w:pStyle w:val="61"/>
              <w:spacing w:line="360" w:lineRule="auto"/>
              <w:rPr>
                <w:b/>
                <w:bCs/>
              </w:rPr>
            </w:pPr>
            <w:r>
              <w:rPr>
                <w:rFonts w:hint="eastAsia"/>
                <w:b/>
                <w:bCs/>
              </w:rPr>
              <w:t>1、常规因子现状监测与评价</w:t>
            </w:r>
          </w:p>
          <w:p>
            <w:pPr>
              <w:pStyle w:val="61"/>
              <w:spacing w:line="360" w:lineRule="auto"/>
              <w:ind w:firstLine="480" w:firstLineChars="200"/>
            </w:pPr>
            <w:r>
              <w:rPr>
                <w:rFonts w:hint="eastAsia"/>
              </w:rPr>
              <w:t>本项目位于安康市平利县，根据大气功能区划，本项目所在地为二类功能区，环境空气质量标准执行《环境空气质量标准》（GB3095-2012）二级标准要求。根据陕西省生态环境厅办公室《环保快报》中“202</w:t>
            </w:r>
            <w:r>
              <w:t>2</w:t>
            </w:r>
            <w:r>
              <w:rPr>
                <w:rFonts w:hint="eastAsia"/>
              </w:rPr>
              <w:t>年陕西省1~12月环境空气质量状况——安康市平利县”中空气常见污染物监测结果，对区域环境空气质量现状进行分析，具体统计结果见表3</w:t>
            </w:r>
            <w:r>
              <w:t>-1</w:t>
            </w:r>
            <w:r>
              <w:rPr>
                <w:rFonts w:hint="eastAsia"/>
              </w:rPr>
              <w:t>。</w:t>
            </w:r>
          </w:p>
          <w:p>
            <w:pPr>
              <w:pStyle w:val="61"/>
              <w:jc w:val="center"/>
              <w:rPr>
                <w:b/>
                <w:bCs/>
                <w:sz w:val="20"/>
                <w:szCs w:val="21"/>
              </w:rPr>
            </w:pPr>
            <w:r>
              <w:rPr>
                <w:rFonts w:hint="eastAsia"/>
                <w:b/>
                <w:bCs/>
                <w:sz w:val="20"/>
                <w:szCs w:val="21"/>
              </w:rPr>
              <w:t>表3-1  本项目所在地达标区判定情况一览表</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95"/>
              <w:gridCol w:w="1119"/>
              <w:gridCol w:w="1124"/>
              <w:gridCol w:w="1422"/>
              <w:gridCol w:w="9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pStyle w:val="27"/>
                    <w:spacing w:line="300" w:lineRule="exact"/>
                    <w:jc w:val="center"/>
                    <w:rPr>
                      <w:b/>
                      <w:bCs/>
                      <w:sz w:val="20"/>
                      <w:szCs w:val="21"/>
                    </w:rPr>
                  </w:pPr>
                  <w:r>
                    <w:rPr>
                      <w:rFonts w:hint="eastAsia"/>
                      <w:b/>
                      <w:bCs/>
                      <w:sz w:val="20"/>
                      <w:szCs w:val="21"/>
                    </w:rPr>
                    <w:t>污染物</w:t>
                  </w:r>
                </w:p>
              </w:tc>
              <w:tc>
                <w:tcPr>
                  <w:tcW w:w="1332" w:type="pct"/>
                  <w:vAlign w:val="center"/>
                </w:tcPr>
                <w:p>
                  <w:pPr>
                    <w:pStyle w:val="27"/>
                    <w:spacing w:line="300" w:lineRule="exact"/>
                    <w:jc w:val="center"/>
                    <w:rPr>
                      <w:b/>
                      <w:bCs/>
                      <w:sz w:val="20"/>
                      <w:szCs w:val="21"/>
                    </w:rPr>
                  </w:pPr>
                  <w:r>
                    <w:rPr>
                      <w:b/>
                      <w:bCs/>
                      <w:sz w:val="20"/>
                      <w:szCs w:val="21"/>
                    </w:rPr>
                    <w:t>年评价指标</w:t>
                  </w:r>
                </w:p>
              </w:tc>
              <w:tc>
                <w:tcPr>
                  <w:tcW w:w="747" w:type="pct"/>
                  <w:vAlign w:val="center"/>
                </w:tcPr>
                <w:p>
                  <w:pPr>
                    <w:pStyle w:val="27"/>
                    <w:spacing w:line="300" w:lineRule="exact"/>
                    <w:jc w:val="center"/>
                    <w:rPr>
                      <w:b/>
                      <w:bCs/>
                      <w:sz w:val="20"/>
                      <w:szCs w:val="21"/>
                    </w:rPr>
                  </w:pPr>
                  <w:r>
                    <w:rPr>
                      <w:b/>
                      <w:bCs/>
                      <w:sz w:val="20"/>
                      <w:szCs w:val="21"/>
                    </w:rPr>
                    <w:t>现状浓度（μg/m</w:t>
                  </w:r>
                  <w:r>
                    <w:rPr>
                      <w:b/>
                      <w:bCs/>
                      <w:sz w:val="20"/>
                      <w:szCs w:val="21"/>
                      <w:vertAlign w:val="superscript"/>
                    </w:rPr>
                    <w:t>3</w:t>
                  </w:r>
                  <w:r>
                    <w:rPr>
                      <w:b/>
                      <w:bCs/>
                      <w:sz w:val="20"/>
                      <w:szCs w:val="21"/>
                    </w:rPr>
                    <w:t>）</w:t>
                  </w:r>
                </w:p>
              </w:tc>
              <w:tc>
                <w:tcPr>
                  <w:tcW w:w="750" w:type="pct"/>
                  <w:vAlign w:val="center"/>
                </w:tcPr>
                <w:p>
                  <w:pPr>
                    <w:pStyle w:val="27"/>
                    <w:spacing w:line="300" w:lineRule="exact"/>
                    <w:jc w:val="center"/>
                    <w:rPr>
                      <w:b/>
                      <w:bCs/>
                      <w:sz w:val="20"/>
                      <w:szCs w:val="21"/>
                    </w:rPr>
                  </w:pPr>
                  <w:r>
                    <w:rPr>
                      <w:b/>
                      <w:bCs/>
                      <w:sz w:val="20"/>
                      <w:szCs w:val="21"/>
                    </w:rPr>
                    <w:t>标准值（μg/m</w:t>
                  </w:r>
                  <w:r>
                    <w:rPr>
                      <w:b/>
                      <w:bCs/>
                      <w:sz w:val="20"/>
                      <w:szCs w:val="21"/>
                      <w:vertAlign w:val="superscript"/>
                    </w:rPr>
                    <w:t>3</w:t>
                  </w:r>
                  <w:r>
                    <w:rPr>
                      <w:b/>
                      <w:bCs/>
                      <w:sz w:val="20"/>
                      <w:szCs w:val="21"/>
                    </w:rPr>
                    <w:t>）</w:t>
                  </w:r>
                </w:p>
              </w:tc>
              <w:tc>
                <w:tcPr>
                  <w:tcW w:w="949" w:type="pct"/>
                  <w:vAlign w:val="center"/>
                </w:tcPr>
                <w:p>
                  <w:pPr>
                    <w:pStyle w:val="27"/>
                    <w:spacing w:line="300" w:lineRule="exact"/>
                    <w:jc w:val="center"/>
                    <w:rPr>
                      <w:b/>
                      <w:bCs/>
                      <w:sz w:val="20"/>
                      <w:szCs w:val="21"/>
                    </w:rPr>
                  </w:pPr>
                  <w:r>
                    <w:rPr>
                      <w:b/>
                      <w:bCs/>
                      <w:sz w:val="20"/>
                      <w:szCs w:val="21"/>
                    </w:rPr>
                    <w:t>最大占标率%</w:t>
                  </w:r>
                </w:p>
              </w:tc>
              <w:tc>
                <w:tcPr>
                  <w:tcW w:w="621" w:type="pct"/>
                  <w:vAlign w:val="center"/>
                </w:tcPr>
                <w:p>
                  <w:pPr>
                    <w:pStyle w:val="27"/>
                    <w:spacing w:line="300" w:lineRule="exact"/>
                    <w:jc w:val="center"/>
                    <w:rPr>
                      <w:b/>
                      <w:bCs/>
                      <w:sz w:val="20"/>
                      <w:szCs w:val="21"/>
                    </w:rPr>
                  </w:pPr>
                  <w:r>
                    <w:rPr>
                      <w:b/>
                      <w:bCs/>
                      <w:sz w:val="20"/>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pStyle w:val="27"/>
                    <w:spacing w:line="300" w:lineRule="exact"/>
                    <w:jc w:val="center"/>
                    <w:rPr>
                      <w:sz w:val="20"/>
                      <w:szCs w:val="21"/>
                    </w:rPr>
                  </w:pPr>
                  <w:r>
                    <w:rPr>
                      <w:sz w:val="20"/>
                      <w:szCs w:val="21"/>
                    </w:rPr>
                    <w:t>PM</w:t>
                  </w:r>
                  <w:r>
                    <w:rPr>
                      <w:sz w:val="20"/>
                      <w:szCs w:val="21"/>
                      <w:vertAlign w:val="subscript"/>
                    </w:rPr>
                    <w:t>2.5</w:t>
                  </w:r>
                </w:p>
              </w:tc>
              <w:tc>
                <w:tcPr>
                  <w:tcW w:w="1332" w:type="pct"/>
                  <w:vAlign w:val="center"/>
                </w:tcPr>
                <w:p>
                  <w:pPr>
                    <w:pStyle w:val="27"/>
                    <w:spacing w:line="300" w:lineRule="exact"/>
                    <w:jc w:val="center"/>
                    <w:rPr>
                      <w:sz w:val="20"/>
                      <w:szCs w:val="21"/>
                    </w:rPr>
                  </w:pPr>
                  <w:r>
                    <w:rPr>
                      <w:sz w:val="20"/>
                      <w:szCs w:val="21"/>
                    </w:rPr>
                    <w:t>年平均质量浓度</w:t>
                  </w:r>
                </w:p>
              </w:tc>
              <w:tc>
                <w:tcPr>
                  <w:tcW w:w="747" w:type="pct"/>
                  <w:vAlign w:val="center"/>
                </w:tcPr>
                <w:p>
                  <w:pPr>
                    <w:pStyle w:val="27"/>
                    <w:spacing w:line="300" w:lineRule="exact"/>
                    <w:jc w:val="center"/>
                    <w:rPr>
                      <w:sz w:val="20"/>
                      <w:szCs w:val="21"/>
                    </w:rPr>
                  </w:pPr>
                  <w:r>
                    <w:rPr>
                      <w:sz w:val="20"/>
                      <w:szCs w:val="21"/>
                    </w:rPr>
                    <w:t>22</w:t>
                  </w:r>
                </w:p>
              </w:tc>
              <w:tc>
                <w:tcPr>
                  <w:tcW w:w="750" w:type="pct"/>
                  <w:vAlign w:val="center"/>
                </w:tcPr>
                <w:p>
                  <w:pPr>
                    <w:pStyle w:val="27"/>
                    <w:spacing w:line="300" w:lineRule="exact"/>
                    <w:jc w:val="center"/>
                    <w:rPr>
                      <w:sz w:val="20"/>
                      <w:szCs w:val="21"/>
                    </w:rPr>
                  </w:pPr>
                  <w:r>
                    <w:rPr>
                      <w:sz w:val="20"/>
                      <w:szCs w:val="21"/>
                    </w:rPr>
                    <w:t>35</w:t>
                  </w:r>
                </w:p>
              </w:tc>
              <w:tc>
                <w:tcPr>
                  <w:tcW w:w="949" w:type="pct"/>
                </w:tcPr>
                <w:p>
                  <w:pPr>
                    <w:pStyle w:val="27"/>
                    <w:spacing w:line="300" w:lineRule="exact"/>
                    <w:jc w:val="center"/>
                    <w:rPr>
                      <w:sz w:val="20"/>
                      <w:szCs w:val="21"/>
                    </w:rPr>
                  </w:pPr>
                  <w:r>
                    <w:t>62.86%</w:t>
                  </w:r>
                </w:p>
              </w:tc>
              <w:tc>
                <w:tcPr>
                  <w:tcW w:w="621" w:type="pct"/>
                  <w:vAlign w:val="center"/>
                </w:tcPr>
                <w:p>
                  <w:pPr>
                    <w:pStyle w:val="27"/>
                    <w:spacing w:line="300" w:lineRule="exact"/>
                    <w:jc w:val="center"/>
                    <w:rPr>
                      <w:sz w:val="20"/>
                      <w:szCs w:val="21"/>
                    </w:rPr>
                  </w:pPr>
                  <w:r>
                    <w:rPr>
                      <w:rFonts w:hint="eastAsia"/>
                      <w:sz w:val="2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pStyle w:val="27"/>
                    <w:spacing w:line="300" w:lineRule="exact"/>
                    <w:jc w:val="center"/>
                    <w:rPr>
                      <w:sz w:val="20"/>
                      <w:szCs w:val="21"/>
                    </w:rPr>
                  </w:pPr>
                  <w:r>
                    <w:rPr>
                      <w:sz w:val="20"/>
                      <w:szCs w:val="21"/>
                    </w:rPr>
                    <w:t>PM</w:t>
                  </w:r>
                  <w:r>
                    <w:rPr>
                      <w:sz w:val="20"/>
                      <w:szCs w:val="21"/>
                      <w:vertAlign w:val="subscript"/>
                    </w:rPr>
                    <w:t>10</w:t>
                  </w:r>
                </w:p>
              </w:tc>
              <w:tc>
                <w:tcPr>
                  <w:tcW w:w="1332" w:type="pct"/>
                  <w:vAlign w:val="center"/>
                </w:tcPr>
                <w:p>
                  <w:pPr>
                    <w:pStyle w:val="27"/>
                    <w:spacing w:line="300" w:lineRule="exact"/>
                    <w:jc w:val="center"/>
                    <w:rPr>
                      <w:sz w:val="20"/>
                      <w:szCs w:val="21"/>
                    </w:rPr>
                  </w:pPr>
                  <w:r>
                    <w:rPr>
                      <w:sz w:val="20"/>
                      <w:szCs w:val="21"/>
                    </w:rPr>
                    <w:t>年平均质量浓度</w:t>
                  </w:r>
                </w:p>
              </w:tc>
              <w:tc>
                <w:tcPr>
                  <w:tcW w:w="747" w:type="pct"/>
                  <w:vAlign w:val="center"/>
                </w:tcPr>
                <w:p>
                  <w:pPr>
                    <w:pStyle w:val="27"/>
                    <w:spacing w:line="300" w:lineRule="exact"/>
                    <w:jc w:val="center"/>
                    <w:rPr>
                      <w:sz w:val="20"/>
                      <w:szCs w:val="21"/>
                    </w:rPr>
                  </w:pPr>
                  <w:r>
                    <w:rPr>
                      <w:sz w:val="20"/>
                      <w:szCs w:val="21"/>
                    </w:rPr>
                    <w:t>38</w:t>
                  </w:r>
                </w:p>
              </w:tc>
              <w:tc>
                <w:tcPr>
                  <w:tcW w:w="750" w:type="pct"/>
                  <w:vAlign w:val="center"/>
                </w:tcPr>
                <w:p>
                  <w:pPr>
                    <w:pStyle w:val="27"/>
                    <w:spacing w:line="300" w:lineRule="exact"/>
                    <w:jc w:val="center"/>
                    <w:rPr>
                      <w:sz w:val="20"/>
                      <w:szCs w:val="21"/>
                    </w:rPr>
                  </w:pPr>
                  <w:r>
                    <w:rPr>
                      <w:sz w:val="20"/>
                      <w:szCs w:val="21"/>
                    </w:rPr>
                    <w:t>70</w:t>
                  </w:r>
                </w:p>
              </w:tc>
              <w:tc>
                <w:tcPr>
                  <w:tcW w:w="949" w:type="pct"/>
                </w:tcPr>
                <w:p>
                  <w:pPr>
                    <w:pStyle w:val="27"/>
                    <w:spacing w:line="300" w:lineRule="exact"/>
                    <w:jc w:val="center"/>
                    <w:rPr>
                      <w:sz w:val="20"/>
                      <w:szCs w:val="21"/>
                    </w:rPr>
                  </w:pPr>
                  <w:r>
                    <w:t>54.29%</w:t>
                  </w:r>
                </w:p>
              </w:tc>
              <w:tc>
                <w:tcPr>
                  <w:tcW w:w="621" w:type="pct"/>
                  <w:vAlign w:val="center"/>
                </w:tcPr>
                <w:p>
                  <w:pPr>
                    <w:pStyle w:val="27"/>
                    <w:spacing w:line="300" w:lineRule="exact"/>
                    <w:jc w:val="center"/>
                    <w:rPr>
                      <w:sz w:val="20"/>
                      <w:szCs w:val="21"/>
                    </w:rPr>
                  </w:pPr>
                  <w:r>
                    <w:rPr>
                      <w:rFonts w:hint="eastAsia"/>
                      <w:sz w:val="2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pStyle w:val="27"/>
                    <w:spacing w:line="300" w:lineRule="exact"/>
                    <w:jc w:val="center"/>
                    <w:rPr>
                      <w:sz w:val="20"/>
                      <w:szCs w:val="21"/>
                    </w:rPr>
                  </w:pPr>
                  <w:r>
                    <w:rPr>
                      <w:sz w:val="20"/>
                      <w:szCs w:val="21"/>
                    </w:rPr>
                    <w:t>SO</w:t>
                  </w:r>
                  <w:r>
                    <w:rPr>
                      <w:sz w:val="20"/>
                      <w:szCs w:val="21"/>
                      <w:vertAlign w:val="subscript"/>
                    </w:rPr>
                    <w:t>2</w:t>
                  </w:r>
                </w:p>
              </w:tc>
              <w:tc>
                <w:tcPr>
                  <w:tcW w:w="1332" w:type="pct"/>
                  <w:vAlign w:val="center"/>
                </w:tcPr>
                <w:p>
                  <w:pPr>
                    <w:pStyle w:val="27"/>
                    <w:spacing w:line="300" w:lineRule="exact"/>
                    <w:jc w:val="center"/>
                    <w:rPr>
                      <w:sz w:val="20"/>
                      <w:szCs w:val="21"/>
                    </w:rPr>
                  </w:pPr>
                  <w:r>
                    <w:rPr>
                      <w:sz w:val="20"/>
                      <w:szCs w:val="21"/>
                    </w:rPr>
                    <w:t>年平均质量浓度</w:t>
                  </w:r>
                </w:p>
              </w:tc>
              <w:tc>
                <w:tcPr>
                  <w:tcW w:w="747" w:type="pct"/>
                  <w:vAlign w:val="center"/>
                </w:tcPr>
                <w:p>
                  <w:pPr>
                    <w:pStyle w:val="27"/>
                    <w:spacing w:line="300" w:lineRule="exact"/>
                    <w:jc w:val="center"/>
                    <w:rPr>
                      <w:sz w:val="20"/>
                      <w:szCs w:val="21"/>
                    </w:rPr>
                  </w:pPr>
                  <w:r>
                    <w:rPr>
                      <w:sz w:val="20"/>
                      <w:szCs w:val="21"/>
                    </w:rPr>
                    <w:t>10</w:t>
                  </w:r>
                </w:p>
              </w:tc>
              <w:tc>
                <w:tcPr>
                  <w:tcW w:w="750" w:type="pct"/>
                  <w:vAlign w:val="center"/>
                </w:tcPr>
                <w:p>
                  <w:pPr>
                    <w:pStyle w:val="27"/>
                    <w:spacing w:line="300" w:lineRule="exact"/>
                    <w:jc w:val="center"/>
                    <w:rPr>
                      <w:sz w:val="20"/>
                      <w:szCs w:val="21"/>
                    </w:rPr>
                  </w:pPr>
                  <w:r>
                    <w:rPr>
                      <w:sz w:val="20"/>
                      <w:szCs w:val="21"/>
                    </w:rPr>
                    <w:t>60</w:t>
                  </w:r>
                </w:p>
              </w:tc>
              <w:tc>
                <w:tcPr>
                  <w:tcW w:w="949" w:type="pct"/>
                </w:tcPr>
                <w:p>
                  <w:pPr>
                    <w:pStyle w:val="27"/>
                    <w:spacing w:line="300" w:lineRule="exact"/>
                    <w:jc w:val="center"/>
                    <w:rPr>
                      <w:sz w:val="20"/>
                      <w:szCs w:val="21"/>
                    </w:rPr>
                  </w:pPr>
                  <w:r>
                    <w:t>16.67%</w:t>
                  </w:r>
                </w:p>
              </w:tc>
              <w:tc>
                <w:tcPr>
                  <w:tcW w:w="621" w:type="pct"/>
                  <w:vAlign w:val="center"/>
                </w:tcPr>
                <w:p>
                  <w:pPr>
                    <w:pStyle w:val="27"/>
                    <w:spacing w:line="300" w:lineRule="exact"/>
                    <w:jc w:val="center"/>
                    <w:rPr>
                      <w:sz w:val="20"/>
                      <w:szCs w:val="21"/>
                    </w:rPr>
                  </w:pPr>
                  <w:r>
                    <w:rPr>
                      <w:rFonts w:hint="eastAsia"/>
                      <w:sz w:val="2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pStyle w:val="27"/>
                    <w:spacing w:line="300" w:lineRule="exact"/>
                    <w:jc w:val="center"/>
                    <w:rPr>
                      <w:sz w:val="20"/>
                      <w:szCs w:val="21"/>
                    </w:rPr>
                  </w:pPr>
                  <w:r>
                    <w:rPr>
                      <w:sz w:val="20"/>
                      <w:szCs w:val="21"/>
                    </w:rPr>
                    <w:t>NO</w:t>
                  </w:r>
                  <w:r>
                    <w:rPr>
                      <w:sz w:val="20"/>
                      <w:szCs w:val="21"/>
                      <w:vertAlign w:val="subscript"/>
                    </w:rPr>
                    <w:t>2</w:t>
                  </w:r>
                </w:p>
              </w:tc>
              <w:tc>
                <w:tcPr>
                  <w:tcW w:w="1332" w:type="pct"/>
                  <w:vAlign w:val="center"/>
                </w:tcPr>
                <w:p>
                  <w:pPr>
                    <w:pStyle w:val="27"/>
                    <w:spacing w:line="300" w:lineRule="exact"/>
                    <w:jc w:val="center"/>
                    <w:rPr>
                      <w:sz w:val="20"/>
                      <w:szCs w:val="21"/>
                    </w:rPr>
                  </w:pPr>
                  <w:r>
                    <w:rPr>
                      <w:sz w:val="20"/>
                      <w:szCs w:val="21"/>
                    </w:rPr>
                    <w:t>年平均质量浓度</w:t>
                  </w:r>
                </w:p>
              </w:tc>
              <w:tc>
                <w:tcPr>
                  <w:tcW w:w="747" w:type="pct"/>
                  <w:vAlign w:val="center"/>
                </w:tcPr>
                <w:p>
                  <w:pPr>
                    <w:pStyle w:val="27"/>
                    <w:spacing w:line="300" w:lineRule="exact"/>
                    <w:jc w:val="center"/>
                    <w:rPr>
                      <w:sz w:val="20"/>
                      <w:szCs w:val="21"/>
                    </w:rPr>
                  </w:pPr>
                  <w:r>
                    <w:rPr>
                      <w:sz w:val="20"/>
                      <w:szCs w:val="21"/>
                    </w:rPr>
                    <w:t>15</w:t>
                  </w:r>
                </w:p>
              </w:tc>
              <w:tc>
                <w:tcPr>
                  <w:tcW w:w="750" w:type="pct"/>
                  <w:vAlign w:val="center"/>
                </w:tcPr>
                <w:p>
                  <w:pPr>
                    <w:pStyle w:val="27"/>
                    <w:spacing w:line="300" w:lineRule="exact"/>
                    <w:jc w:val="center"/>
                    <w:rPr>
                      <w:sz w:val="20"/>
                      <w:szCs w:val="21"/>
                    </w:rPr>
                  </w:pPr>
                  <w:r>
                    <w:rPr>
                      <w:sz w:val="20"/>
                      <w:szCs w:val="21"/>
                    </w:rPr>
                    <w:t>40</w:t>
                  </w:r>
                </w:p>
              </w:tc>
              <w:tc>
                <w:tcPr>
                  <w:tcW w:w="949" w:type="pct"/>
                </w:tcPr>
                <w:p>
                  <w:pPr>
                    <w:pStyle w:val="27"/>
                    <w:spacing w:line="300" w:lineRule="exact"/>
                    <w:jc w:val="center"/>
                    <w:rPr>
                      <w:sz w:val="20"/>
                      <w:szCs w:val="21"/>
                    </w:rPr>
                  </w:pPr>
                  <w:r>
                    <w:t>37.50%</w:t>
                  </w:r>
                </w:p>
              </w:tc>
              <w:tc>
                <w:tcPr>
                  <w:tcW w:w="621" w:type="pct"/>
                </w:tcPr>
                <w:p>
                  <w:pPr>
                    <w:pStyle w:val="27"/>
                    <w:spacing w:line="300" w:lineRule="exact"/>
                    <w:jc w:val="center"/>
                    <w:rPr>
                      <w:sz w:val="20"/>
                      <w:szCs w:val="21"/>
                    </w:rPr>
                  </w:pPr>
                  <w:r>
                    <w:rPr>
                      <w:rFonts w:hint="eastAsia"/>
                      <w:sz w:val="2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pStyle w:val="27"/>
                    <w:spacing w:line="300" w:lineRule="exact"/>
                    <w:jc w:val="center"/>
                    <w:rPr>
                      <w:sz w:val="20"/>
                      <w:szCs w:val="21"/>
                    </w:rPr>
                  </w:pPr>
                  <w:r>
                    <w:rPr>
                      <w:sz w:val="20"/>
                      <w:szCs w:val="21"/>
                    </w:rPr>
                    <w:t>CO</w:t>
                  </w:r>
                </w:p>
              </w:tc>
              <w:tc>
                <w:tcPr>
                  <w:tcW w:w="1332" w:type="pct"/>
                  <w:vAlign w:val="center"/>
                </w:tcPr>
                <w:p>
                  <w:pPr>
                    <w:pStyle w:val="27"/>
                    <w:spacing w:line="300" w:lineRule="exact"/>
                    <w:jc w:val="center"/>
                    <w:rPr>
                      <w:sz w:val="20"/>
                      <w:szCs w:val="21"/>
                    </w:rPr>
                  </w:pPr>
                  <w:r>
                    <w:rPr>
                      <w:rFonts w:hint="eastAsia"/>
                      <w:sz w:val="20"/>
                      <w:szCs w:val="21"/>
                    </w:rPr>
                    <w:t>第</w:t>
                  </w:r>
                  <w:r>
                    <w:rPr>
                      <w:sz w:val="20"/>
                      <w:szCs w:val="21"/>
                    </w:rPr>
                    <w:t>95%</w:t>
                  </w:r>
                  <w:r>
                    <w:rPr>
                      <w:rFonts w:hint="eastAsia"/>
                      <w:sz w:val="20"/>
                      <w:szCs w:val="21"/>
                    </w:rPr>
                    <w:t>百分位浓度</w:t>
                  </w:r>
                </w:p>
              </w:tc>
              <w:tc>
                <w:tcPr>
                  <w:tcW w:w="747" w:type="pct"/>
                  <w:vAlign w:val="center"/>
                </w:tcPr>
                <w:p>
                  <w:pPr>
                    <w:pStyle w:val="27"/>
                    <w:spacing w:line="300" w:lineRule="exact"/>
                    <w:jc w:val="center"/>
                    <w:rPr>
                      <w:sz w:val="20"/>
                      <w:szCs w:val="21"/>
                    </w:rPr>
                  </w:pPr>
                  <w:r>
                    <w:rPr>
                      <w:sz w:val="20"/>
                      <w:szCs w:val="21"/>
                    </w:rPr>
                    <w:t>900</w:t>
                  </w:r>
                </w:p>
              </w:tc>
              <w:tc>
                <w:tcPr>
                  <w:tcW w:w="750" w:type="pct"/>
                  <w:vAlign w:val="center"/>
                </w:tcPr>
                <w:p>
                  <w:pPr>
                    <w:pStyle w:val="27"/>
                    <w:spacing w:line="300" w:lineRule="exact"/>
                    <w:jc w:val="center"/>
                    <w:rPr>
                      <w:sz w:val="20"/>
                      <w:szCs w:val="21"/>
                    </w:rPr>
                  </w:pPr>
                  <w:r>
                    <w:rPr>
                      <w:sz w:val="20"/>
                      <w:szCs w:val="21"/>
                    </w:rPr>
                    <w:t>4000</w:t>
                  </w:r>
                </w:p>
              </w:tc>
              <w:tc>
                <w:tcPr>
                  <w:tcW w:w="949" w:type="pct"/>
                </w:tcPr>
                <w:p>
                  <w:pPr>
                    <w:pStyle w:val="27"/>
                    <w:spacing w:line="300" w:lineRule="exact"/>
                    <w:jc w:val="center"/>
                    <w:rPr>
                      <w:sz w:val="20"/>
                      <w:szCs w:val="21"/>
                    </w:rPr>
                  </w:pPr>
                  <w:r>
                    <w:t>22.50%</w:t>
                  </w:r>
                </w:p>
              </w:tc>
              <w:tc>
                <w:tcPr>
                  <w:tcW w:w="621" w:type="pct"/>
                </w:tcPr>
                <w:p>
                  <w:pPr>
                    <w:pStyle w:val="27"/>
                    <w:spacing w:line="300" w:lineRule="exact"/>
                    <w:jc w:val="center"/>
                    <w:rPr>
                      <w:sz w:val="20"/>
                      <w:szCs w:val="21"/>
                    </w:rPr>
                  </w:pPr>
                  <w:r>
                    <w:rPr>
                      <w:rFonts w:hint="eastAsia"/>
                      <w:sz w:val="2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pStyle w:val="27"/>
                    <w:spacing w:line="300" w:lineRule="exact"/>
                    <w:jc w:val="center"/>
                    <w:rPr>
                      <w:sz w:val="20"/>
                      <w:szCs w:val="21"/>
                    </w:rPr>
                  </w:pPr>
                  <w:r>
                    <w:rPr>
                      <w:sz w:val="20"/>
                      <w:szCs w:val="21"/>
                    </w:rPr>
                    <w:t>O</w:t>
                  </w:r>
                  <w:r>
                    <w:rPr>
                      <w:sz w:val="20"/>
                      <w:szCs w:val="21"/>
                      <w:vertAlign w:val="subscript"/>
                    </w:rPr>
                    <w:t>3</w:t>
                  </w:r>
                </w:p>
              </w:tc>
              <w:tc>
                <w:tcPr>
                  <w:tcW w:w="1332" w:type="pct"/>
                  <w:vAlign w:val="center"/>
                </w:tcPr>
                <w:p>
                  <w:pPr>
                    <w:pStyle w:val="27"/>
                    <w:spacing w:line="300" w:lineRule="exact"/>
                    <w:jc w:val="center"/>
                    <w:rPr>
                      <w:sz w:val="20"/>
                      <w:szCs w:val="21"/>
                    </w:rPr>
                  </w:pPr>
                  <w:r>
                    <w:rPr>
                      <w:rFonts w:hint="eastAsia"/>
                      <w:sz w:val="20"/>
                      <w:szCs w:val="21"/>
                    </w:rPr>
                    <w:t>第</w:t>
                  </w:r>
                  <w:r>
                    <w:rPr>
                      <w:sz w:val="20"/>
                      <w:szCs w:val="21"/>
                    </w:rPr>
                    <w:t>90%</w:t>
                  </w:r>
                  <w:r>
                    <w:rPr>
                      <w:rFonts w:hint="eastAsia"/>
                      <w:sz w:val="20"/>
                      <w:szCs w:val="21"/>
                    </w:rPr>
                    <w:t>百分位浓度</w:t>
                  </w:r>
                </w:p>
              </w:tc>
              <w:tc>
                <w:tcPr>
                  <w:tcW w:w="747" w:type="pct"/>
                  <w:vAlign w:val="center"/>
                </w:tcPr>
                <w:p>
                  <w:pPr>
                    <w:pStyle w:val="27"/>
                    <w:spacing w:line="300" w:lineRule="exact"/>
                    <w:jc w:val="center"/>
                    <w:rPr>
                      <w:sz w:val="20"/>
                      <w:szCs w:val="21"/>
                    </w:rPr>
                  </w:pPr>
                  <w:r>
                    <w:rPr>
                      <w:rFonts w:hint="eastAsia"/>
                      <w:sz w:val="20"/>
                      <w:szCs w:val="21"/>
                    </w:rPr>
                    <w:t>1</w:t>
                  </w:r>
                  <w:r>
                    <w:rPr>
                      <w:sz w:val="20"/>
                      <w:szCs w:val="21"/>
                    </w:rPr>
                    <w:t>12</w:t>
                  </w:r>
                </w:p>
              </w:tc>
              <w:tc>
                <w:tcPr>
                  <w:tcW w:w="750" w:type="pct"/>
                  <w:vAlign w:val="center"/>
                </w:tcPr>
                <w:p>
                  <w:pPr>
                    <w:pStyle w:val="27"/>
                    <w:spacing w:line="300" w:lineRule="exact"/>
                    <w:jc w:val="center"/>
                    <w:rPr>
                      <w:sz w:val="20"/>
                      <w:szCs w:val="21"/>
                    </w:rPr>
                  </w:pPr>
                  <w:r>
                    <w:rPr>
                      <w:sz w:val="20"/>
                      <w:szCs w:val="21"/>
                    </w:rPr>
                    <w:t>160</w:t>
                  </w:r>
                </w:p>
              </w:tc>
              <w:tc>
                <w:tcPr>
                  <w:tcW w:w="949" w:type="pct"/>
                </w:tcPr>
                <w:p>
                  <w:pPr>
                    <w:pStyle w:val="27"/>
                    <w:spacing w:line="300" w:lineRule="exact"/>
                    <w:jc w:val="center"/>
                    <w:rPr>
                      <w:sz w:val="20"/>
                      <w:szCs w:val="21"/>
                    </w:rPr>
                  </w:pPr>
                  <w:r>
                    <w:t>70.00%</w:t>
                  </w:r>
                </w:p>
              </w:tc>
              <w:tc>
                <w:tcPr>
                  <w:tcW w:w="621" w:type="pct"/>
                </w:tcPr>
                <w:p>
                  <w:pPr>
                    <w:pStyle w:val="27"/>
                    <w:spacing w:line="300" w:lineRule="exact"/>
                    <w:jc w:val="center"/>
                    <w:rPr>
                      <w:sz w:val="20"/>
                      <w:szCs w:val="21"/>
                    </w:rPr>
                  </w:pPr>
                  <w:r>
                    <w:rPr>
                      <w:rFonts w:hint="eastAsia"/>
                      <w:sz w:val="20"/>
                      <w:szCs w:val="21"/>
                    </w:rPr>
                    <w:t>达标</w:t>
                  </w:r>
                </w:p>
              </w:tc>
            </w:tr>
          </w:tbl>
          <w:p>
            <w:pPr>
              <w:pStyle w:val="61"/>
              <w:spacing w:line="360" w:lineRule="auto"/>
              <w:ind w:firstLine="480" w:firstLineChars="200"/>
            </w:pPr>
            <w:r>
              <w:rPr>
                <w:rFonts w:hint="eastAsia"/>
              </w:rPr>
              <w:t>由表3-1可知，本项目所在地</w:t>
            </w:r>
            <w:r>
              <w:t>6</w:t>
            </w:r>
            <w:r>
              <w:rPr>
                <w:rFonts w:hint="eastAsia"/>
              </w:rPr>
              <w:t>项基本因子现状浓度均满足《环境空气质量标准》（GB3095-2012）中的二级标准要求，因此本项目所在区域判定为达标区。</w:t>
            </w:r>
          </w:p>
          <w:p>
            <w:pPr>
              <w:pStyle w:val="61"/>
              <w:spacing w:line="360" w:lineRule="auto"/>
              <w:rPr>
                <w:b/>
                <w:bCs/>
              </w:rPr>
            </w:pPr>
            <w:r>
              <w:rPr>
                <w:rFonts w:hint="eastAsia"/>
                <w:b/>
                <w:bCs/>
              </w:rPr>
              <w:t>2、特征污染环境质量状况</w:t>
            </w:r>
          </w:p>
          <w:p>
            <w:pPr>
              <w:pStyle w:val="61"/>
              <w:spacing w:line="360" w:lineRule="auto"/>
              <w:ind w:firstLine="480" w:firstLineChars="200"/>
            </w:pPr>
            <w:r>
              <w:rPr>
                <w:rFonts w:hint="eastAsia"/>
              </w:rPr>
              <w:t>本项目特征污染物为颗粒物，本次评价委托陕西泽希检测服务有限公司于2</w:t>
            </w:r>
            <w:r>
              <w:t>023</w:t>
            </w:r>
            <w:r>
              <w:rPr>
                <w:rFonts w:hint="eastAsia"/>
              </w:rPr>
              <w:t>年2月7日~</w:t>
            </w:r>
            <w:r>
              <w:t>9</w:t>
            </w:r>
            <w:r>
              <w:rPr>
                <w:rFonts w:hint="eastAsia"/>
              </w:rPr>
              <w:t>日对项目所在地下风向（厂区外西南侧）大气环境质量进行了现状监测，监测数据摘录见表3</w:t>
            </w:r>
            <w:r>
              <w:t>-2</w:t>
            </w:r>
            <w:r>
              <w:rPr>
                <w:rFonts w:hint="eastAsia"/>
              </w:rPr>
              <w:t>。</w:t>
            </w:r>
          </w:p>
          <w:p>
            <w:pPr>
              <w:pStyle w:val="61"/>
              <w:jc w:val="center"/>
              <w:rPr>
                <w:b/>
                <w:bCs/>
                <w:sz w:val="20"/>
                <w:szCs w:val="21"/>
              </w:rPr>
            </w:pPr>
            <w:r>
              <w:rPr>
                <w:rFonts w:hint="eastAsia"/>
                <w:b/>
                <w:bCs/>
                <w:sz w:val="20"/>
                <w:szCs w:val="21"/>
              </w:rPr>
              <w:t>表3-2  特征污染物环境质量现状监测结果</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59"/>
              <w:gridCol w:w="1161"/>
              <w:gridCol w:w="1023"/>
              <w:gridCol w:w="858"/>
              <w:gridCol w:w="1103"/>
              <w:gridCol w:w="965"/>
              <w:gridCol w:w="7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7" w:type="pct"/>
                  <w:vAlign w:val="center"/>
                </w:tcPr>
                <w:p>
                  <w:pPr>
                    <w:pStyle w:val="27"/>
                    <w:jc w:val="center"/>
                    <w:rPr>
                      <w:b/>
                      <w:bCs/>
                      <w:sz w:val="20"/>
                      <w:szCs w:val="20"/>
                    </w:rPr>
                  </w:pPr>
                  <w:r>
                    <w:rPr>
                      <w:b/>
                      <w:bCs/>
                      <w:sz w:val="20"/>
                      <w:szCs w:val="20"/>
                    </w:rPr>
                    <w:t>监测点位</w:t>
                  </w:r>
                </w:p>
              </w:tc>
              <w:tc>
                <w:tcPr>
                  <w:tcW w:w="640" w:type="pct"/>
                  <w:vAlign w:val="center"/>
                </w:tcPr>
                <w:p>
                  <w:pPr>
                    <w:pStyle w:val="27"/>
                    <w:jc w:val="center"/>
                    <w:rPr>
                      <w:b/>
                      <w:bCs/>
                      <w:sz w:val="20"/>
                      <w:szCs w:val="20"/>
                    </w:rPr>
                  </w:pPr>
                  <w:r>
                    <w:rPr>
                      <w:b/>
                      <w:bCs/>
                      <w:sz w:val="20"/>
                      <w:szCs w:val="20"/>
                    </w:rPr>
                    <w:t>监测项目</w:t>
                  </w:r>
                </w:p>
              </w:tc>
              <w:tc>
                <w:tcPr>
                  <w:tcW w:w="775" w:type="pct"/>
                  <w:vAlign w:val="center"/>
                </w:tcPr>
                <w:p>
                  <w:pPr>
                    <w:pStyle w:val="27"/>
                    <w:jc w:val="center"/>
                    <w:rPr>
                      <w:b/>
                      <w:bCs/>
                      <w:sz w:val="20"/>
                      <w:szCs w:val="20"/>
                    </w:rPr>
                  </w:pPr>
                  <w:r>
                    <w:rPr>
                      <w:rFonts w:hint="eastAsia"/>
                      <w:b/>
                      <w:bCs/>
                      <w:sz w:val="20"/>
                      <w:szCs w:val="20"/>
                    </w:rPr>
                    <w:t>日期</w:t>
                  </w:r>
                </w:p>
              </w:tc>
              <w:tc>
                <w:tcPr>
                  <w:tcW w:w="683" w:type="pct"/>
                  <w:vAlign w:val="center"/>
                </w:tcPr>
                <w:p>
                  <w:pPr>
                    <w:pStyle w:val="27"/>
                    <w:jc w:val="center"/>
                    <w:rPr>
                      <w:b/>
                      <w:bCs/>
                      <w:sz w:val="20"/>
                      <w:szCs w:val="20"/>
                    </w:rPr>
                  </w:pPr>
                  <w:r>
                    <w:rPr>
                      <w:rFonts w:hint="eastAsia"/>
                      <w:b/>
                      <w:bCs/>
                      <w:sz w:val="20"/>
                      <w:szCs w:val="20"/>
                    </w:rPr>
                    <w:t>监测浓度</w:t>
                  </w:r>
                  <w:r>
                    <w:rPr>
                      <w:b/>
                      <w:bCs/>
                      <w:sz w:val="20"/>
                      <w:szCs w:val="20"/>
                    </w:rPr>
                    <w:t>μg</w:t>
                  </w:r>
                  <w:r>
                    <w:rPr>
                      <w:rFonts w:hint="eastAsia"/>
                      <w:b/>
                      <w:bCs/>
                      <w:sz w:val="20"/>
                      <w:szCs w:val="20"/>
                    </w:rPr>
                    <w:t>/m</w:t>
                  </w:r>
                  <w:r>
                    <w:rPr>
                      <w:rFonts w:hint="eastAsia"/>
                      <w:b/>
                      <w:bCs/>
                      <w:sz w:val="20"/>
                      <w:szCs w:val="20"/>
                      <w:vertAlign w:val="superscript"/>
                    </w:rPr>
                    <w:t>3</w:t>
                  </w:r>
                </w:p>
              </w:tc>
              <w:tc>
                <w:tcPr>
                  <w:tcW w:w="573" w:type="pct"/>
                  <w:vAlign w:val="center"/>
                </w:tcPr>
                <w:p>
                  <w:pPr>
                    <w:pStyle w:val="27"/>
                    <w:jc w:val="center"/>
                    <w:rPr>
                      <w:b/>
                      <w:bCs/>
                      <w:sz w:val="20"/>
                      <w:szCs w:val="20"/>
                    </w:rPr>
                  </w:pPr>
                  <w:r>
                    <w:rPr>
                      <w:b/>
                      <w:bCs/>
                      <w:sz w:val="20"/>
                      <w:szCs w:val="20"/>
                    </w:rPr>
                    <w:t>标准</w:t>
                  </w:r>
                  <w:r>
                    <w:rPr>
                      <w:rFonts w:hint="eastAsia"/>
                      <w:b/>
                      <w:bCs/>
                      <w:sz w:val="20"/>
                      <w:szCs w:val="20"/>
                    </w:rPr>
                    <w:t>值</w:t>
                  </w:r>
                  <w:r>
                    <w:rPr>
                      <w:b/>
                      <w:bCs/>
                      <w:sz w:val="20"/>
                      <w:szCs w:val="20"/>
                    </w:rPr>
                    <w:t>μg</w:t>
                  </w:r>
                  <w:r>
                    <w:rPr>
                      <w:rFonts w:hint="eastAsia"/>
                      <w:b/>
                      <w:bCs/>
                      <w:sz w:val="20"/>
                      <w:szCs w:val="20"/>
                    </w:rPr>
                    <w:t>/m</w:t>
                  </w:r>
                  <w:r>
                    <w:rPr>
                      <w:rFonts w:hint="eastAsia"/>
                      <w:b/>
                      <w:bCs/>
                      <w:sz w:val="20"/>
                      <w:szCs w:val="20"/>
                      <w:vertAlign w:val="superscript"/>
                    </w:rPr>
                    <w:t>3</w:t>
                  </w:r>
                </w:p>
              </w:tc>
              <w:tc>
                <w:tcPr>
                  <w:tcW w:w="736" w:type="pct"/>
                  <w:vAlign w:val="center"/>
                </w:tcPr>
                <w:p>
                  <w:pPr>
                    <w:pStyle w:val="27"/>
                    <w:jc w:val="center"/>
                    <w:rPr>
                      <w:b/>
                      <w:bCs/>
                      <w:sz w:val="20"/>
                      <w:szCs w:val="20"/>
                    </w:rPr>
                  </w:pPr>
                  <w:r>
                    <w:rPr>
                      <w:b/>
                      <w:bCs/>
                      <w:sz w:val="20"/>
                      <w:szCs w:val="20"/>
                    </w:rPr>
                    <w:t>超标率</w:t>
                  </w:r>
                  <w:r>
                    <w:rPr>
                      <w:rFonts w:hint="eastAsia"/>
                      <w:b/>
                      <w:bCs/>
                      <w:sz w:val="20"/>
                      <w:szCs w:val="20"/>
                    </w:rPr>
                    <w:t>（%）</w:t>
                  </w:r>
                </w:p>
              </w:tc>
              <w:tc>
                <w:tcPr>
                  <w:tcW w:w="644" w:type="pct"/>
                  <w:vAlign w:val="center"/>
                </w:tcPr>
                <w:p>
                  <w:pPr>
                    <w:pStyle w:val="27"/>
                    <w:jc w:val="center"/>
                    <w:rPr>
                      <w:b/>
                      <w:bCs/>
                      <w:sz w:val="20"/>
                      <w:szCs w:val="20"/>
                    </w:rPr>
                  </w:pPr>
                  <w:r>
                    <w:rPr>
                      <w:b/>
                      <w:bCs/>
                      <w:sz w:val="20"/>
                      <w:szCs w:val="20"/>
                    </w:rPr>
                    <w:t>占标率（%）</w:t>
                  </w:r>
                </w:p>
              </w:tc>
              <w:tc>
                <w:tcPr>
                  <w:tcW w:w="522" w:type="pct"/>
                  <w:vAlign w:val="center"/>
                </w:tcPr>
                <w:p>
                  <w:pPr>
                    <w:pStyle w:val="27"/>
                    <w:jc w:val="center"/>
                    <w:rPr>
                      <w:b/>
                      <w:bCs/>
                      <w:sz w:val="20"/>
                      <w:szCs w:val="20"/>
                    </w:rPr>
                  </w:pPr>
                  <w:r>
                    <w:rPr>
                      <w:rFonts w:hint="eastAsia"/>
                      <w:b/>
                      <w:bCs/>
                      <w:sz w:val="20"/>
                      <w:szCs w:val="20"/>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7" w:type="pct"/>
                  <w:vMerge w:val="restart"/>
                  <w:vAlign w:val="center"/>
                </w:tcPr>
                <w:p>
                  <w:pPr>
                    <w:pStyle w:val="27"/>
                    <w:jc w:val="center"/>
                  </w:pPr>
                  <w:r>
                    <w:rPr>
                      <w:rFonts w:hint="eastAsia"/>
                    </w:rPr>
                    <w:t>厂区外西南侧</w:t>
                  </w:r>
                </w:p>
              </w:tc>
              <w:tc>
                <w:tcPr>
                  <w:tcW w:w="640" w:type="pct"/>
                  <w:vMerge w:val="restart"/>
                  <w:vAlign w:val="center"/>
                </w:tcPr>
                <w:p>
                  <w:pPr>
                    <w:pStyle w:val="27"/>
                    <w:jc w:val="center"/>
                  </w:pPr>
                  <w:r>
                    <w:rPr>
                      <w:rFonts w:hint="eastAsia"/>
                    </w:rPr>
                    <w:t>TSP</w:t>
                  </w:r>
                </w:p>
              </w:tc>
              <w:tc>
                <w:tcPr>
                  <w:tcW w:w="775" w:type="pct"/>
                  <w:vAlign w:val="center"/>
                </w:tcPr>
                <w:p>
                  <w:pPr>
                    <w:pStyle w:val="27"/>
                    <w:jc w:val="center"/>
                  </w:pPr>
                  <w:r>
                    <w:rPr>
                      <w:rFonts w:hint="eastAsia"/>
                    </w:rPr>
                    <w:t>2</w:t>
                  </w:r>
                  <w:r>
                    <w:t>023.02.07</w:t>
                  </w:r>
                </w:p>
              </w:tc>
              <w:tc>
                <w:tcPr>
                  <w:tcW w:w="683" w:type="pct"/>
                  <w:vAlign w:val="center"/>
                </w:tcPr>
                <w:p>
                  <w:pPr>
                    <w:pStyle w:val="27"/>
                    <w:jc w:val="center"/>
                  </w:pPr>
                  <w:r>
                    <w:rPr>
                      <w:rFonts w:hint="eastAsia"/>
                    </w:rPr>
                    <w:t>1</w:t>
                  </w:r>
                  <w:r>
                    <w:t>56</w:t>
                  </w:r>
                </w:p>
              </w:tc>
              <w:tc>
                <w:tcPr>
                  <w:tcW w:w="573" w:type="pct"/>
                  <w:vMerge w:val="restart"/>
                  <w:vAlign w:val="center"/>
                </w:tcPr>
                <w:p>
                  <w:pPr>
                    <w:pStyle w:val="27"/>
                    <w:jc w:val="center"/>
                  </w:pPr>
                  <w:r>
                    <w:rPr>
                      <w:rFonts w:hint="eastAsia"/>
                    </w:rPr>
                    <w:t>3</w:t>
                  </w:r>
                  <w:r>
                    <w:t>00</w:t>
                  </w:r>
                </w:p>
              </w:tc>
              <w:tc>
                <w:tcPr>
                  <w:tcW w:w="736" w:type="pct"/>
                  <w:vAlign w:val="center"/>
                </w:tcPr>
                <w:p>
                  <w:pPr>
                    <w:pStyle w:val="27"/>
                    <w:jc w:val="center"/>
                  </w:pPr>
                  <w:r>
                    <w:rPr>
                      <w:rFonts w:hint="eastAsia"/>
                    </w:rPr>
                    <w:t>0</w:t>
                  </w:r>
                </w:p>
              </w:tc>
              <w:tc>
                <w:tcPr>
                  <w:tcW w:w="644" w:type="pct"/>
                </w:tcPr>
                <w:p>
                  <w:pPr>
                    <w:pStyle w:val="27"/>
                    <w:jc w:val="center"/>
                  </w:pPr>
                  <w:r>
                    <w:t>52.00%</w:t>
                  </w:r>
                </w:p>
              </w:tc>
              <w:tc>
                <w:tcPr>
                  <w:tcW w:w="522" w:type="pct"/>
                  <w:vAlign w:val="center"/>
                </w:tcPr>
                <w:p>
                  <w:pPr>
                    <w:pStyle w:val="27"/>
                    <w:jc w:val="center"/>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7" w:type="pct"/>
                  <w:vMerge w:val="continue"/>
                  <w:vAlign w:val="center"/>
                </w:tcPr>
                <w:p>
                  <w:pPr>
                    <w:pStyle w:val="27"/>
                    <w:jc w:val="center"/>
                  </w:pPr>
                </w:p>
              </w:tc>
              <w:tc>
                <w:tcPr>
                  <w:tcW w:w="640" w:type="pct"/>
                  <w:vMerge w:val="continue"/>
                  <w:vAlign w:val="center"/>
                </w:tcPr>
                <w:p>
                  <w:pPr>
                    <w:pStyle w:val="27"/>
                    <w:jc w:val="center"/>
                  </w:pPr>
                </w:p>
              </w:tc>
              <w:tc>
                <w:tcPr>
                  <w:tcW w:w="775" w:type="pct"/>
                  <w:vAlign w:val="center"/>
                </w:tcPr>
                <w:p>
                  <w:pPr>
                    <w:pStyle w:val="27"/>
                    <w:jc w:val="center"/>
                  </w:pPr>
                  <w:r>
                    <w:rPr>
                      <w:rFonts w:hint="eastAsia"/>
                    </w:rPr>
                    <w:t>2</w:t>
                  </w:r>
                  <w:r>
                    <w:t>023.02.08</w:t>
                  </w:r>
                </w:p>
              </w:tc>
              <w:tc>
                <w:tcPr>
                  <w:tcW w:w="683" w:type="pct"/>
                  <w:vAlign w:val="center"/>
                </w:tcPr>
                <w:p>
                  <w:pPr>
                    <w:pStyle w:val="27"/>
                    <w:jc w:val="center"/>
                  </w:pPr>
                  <w:r>
                    <w:rPr>
                      <w:rFonts w:hint="eastAsia"/>
                    </w:rPr>
                    <w:t>1</w:t>
                  </w:r>
                  <w:r>
                    <w:t>49</w:t>
                  </w:r>
                </w:p>
              </w:tc>
              <w:tc>
                <w:tcPr>
                  <w:tcW w:w="573" w:type="pct"/>
                  <w:vMerge w:val="continue"/>
                  <w:vAlign w:val="center"/>
                </w:tcPr>
                <w:p>
                  <w:pPr>
                    <w:pStyle w:val="27"/>
                    <w:jc w:val="center"/>
                  </w:pPr>
                </w:p>
              </w:tc>
              <w:tc>
                <w:tcPr>
                  <w:tcW w:w="736" w:type="pct"/>
                </w:tcPr>
                <w:p>
                  <w:pPr>
                    <w:pStyle w:val="27"/>
                    <w:jc w:val="center"/>
                  </w:pPr>
                  <w:r>
                    <w:rPr>
                      <w:rFonts w:hint="eastAsia"/>
                    </w:rPr>
                    <w:t>0</w:t>
                  </w:r>
                </w:p>
              </w:tc>
              <w:tc>
                <w:tcPr>
                  <w:tcW w:w="644" w:type="pct"/>
                </w:tcPr>
                <w:p>
                  <w:pPr>
                    <w:pStyle w:val="27"/>
                    <w:jc w:val="center"/>
                  </w:pPr>
                  <w:r>
                    <w:t>49.67%</w:t>
                  </w:r>
                </w:p>
              </w:tc>
              <w:tc>
                <w:tcPr>
                  <w:tcW w:w="522" w:type="pct"/>
                </w:tcPr>
                <w:p>
                  <w:pPr>
                    <w:pStyle w:val="27"/>
                    <w:jc w:val="center"/>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7" w:type="pct"/>
                  <w:vMerge w:val="continue"/>
                  <w:vAlign w:val="center"/>
                </w:tcPr>
                <w:p>
                  <w:pPr>
                    <w:pStyle w:val="27"/>
                    <w:jc w:val="center"/>
                  </w:pPr>
                </w:p>
              </w:tc>
              <w:tc>
                <w:tcPr>
                  <w:tcW w:w="640" w:type="pct"/>
                  <w:vMerge w:val="continue"/>
                  <w:vAlign w:val="center"/>
                </w:tcPr>
                <w:p>
                  <w:pPr>
                    <w:pStyle w:val="27"/>
                    <w:jc w:val="center"/>
                  </w:pPr>
                </w:p>
              </w:tc>
              <w:tc>
                <w:tcPr>
                  <w:tcW w:w="775" w:type="pct"/>
                  <w:vAlign w:val="center"/>
                </w:tcPr>
                <w:p>
                  <w:pPr>
                    <w:pStyle w:val="27"/>
                    <w:jc w:val="center"/>
                  </w:pPr>
                  <w:r>
                    <w:rPr>
                      <w:rFonts w:hint="eastAsia"/>
                    </w:rPr>
                    <w:t>2</w:t>
                  </w:r>
                  <w:r>
                    <w:t>023.02.09</w:t>
                  </w:r>
                </w:p>
              </w:tc>
              <w:tc>
                <w:tcPr>
                  <w:tcW w:w="683" w:type="pct"/>
                  <w:vAlign w:val="center"/>
                </w:tcPr>
                <w:p>
                  <w:pPr>
                    <w:pStyle w:val="27"/>
                    <w:jc w:val="center"/>
                  </w:pPr>
                  <w:r>
                    <w:rPr>
                      <w:rFonts w:hint="eastAsia"/>
                    </w:rPr>
                    <w:t>1</w:t>
                  </w:r>
                  <w:r>
                    <w:t>45</w:t>
                  </w:r>
                </w:p>
              </w:tc>
              <w:tc>
                <w:tcPr>
                  <w:tcW w:w="573" w:type="pct"/>
                  <w:vMerge w:val="continue"/>
                  <w:vAlign w:val="center"/>
                </w:tcPr>
                <w:p>
                  <w:pPr>
                    <w:pStyle w:val="27"/>
                    <w:jc w:val="center"/>
                  </w:pPr>
                </w:p>
              </w:tc>
              <w:tc>
                <w:tcPr>
                  <w:tcW w:w="736" w:type="pct"/>
                </w:tcPr>
                <w:p>
                  <w:pPr>
                    <w:pStyle w:val="27"/>
                    <w:jc w:val="center"/>
                  </w:pPr>
                  <w:r>
                    <w:rPr>
                      <w:rFonts w:hint="eastAsia"/>
                    </w:rPr>
                    <w:t>0</w:t>
                  </w:r>
                </w:p>
              </w:tc>
              <w:tc>
                <w:tcPr>
                  <w:tcW w:w="644" w:type="pct"/>
                </w:tcPr>
                <w:p>
                  <w:pPr>
                    <w:pStyle w:val="27"/>
                    <w:jc w:val="center"/>
                  </w:pPr>
                  <w:r>
                    <w:t>48.33%</w:t>
                  </w:r>
                </w:p>
              </w:tc>
              <w:tc>
                <w:tcPr>
                  <w:tcW w:w="522" w:type="pct"/>
                </w:tcPr>
                <w:p>
                  <w:pPr>
                    <w:pStyle w:val="27"/>
                    <w:jc w:val="center"/>
                  </w:pPr>
                  <w:r>
                    <w:rPr>
                      <w:rFonts w:hint="eastAsia"/>
                    </w:rPr>
                    <w:t>达标</w:t>
                  </w:r>
                </w:p>
              </w:tc>
            </w:tr>
          </w:tbl>
          <w:p>
            <w:pPr>
              <w:pStyle w:val="61"/>
              <w:spacing w:line="360" w:lineRule="auto"/>
              <w:ind w:firstLine="480" w:firstLineChars="200"/>
            </w:pPr>
            <w:r>
              <w:rPr>
                <w:rFonts w:hint="eastAsia"/>
              </w:rPr>
              <w:t>根据监测结果，本项目所在区域TSP2</w:t>
            </w:r>
            <w:r>
              <w:t>4</w:t>
            </w:r>
            <w:r>
              <w:rPr>
                <w:rFonts w:hint="eastAsia"/>
              </w:rPr>
              <w:t>小时平均值满足《环境空气质量标准》（GB</w:t>
            </w:r>
            <w:r>
              <w:t>3095-2012</w:t>
            </w:r>
            <w:r>
              <w:rPr>
                <w:rFonts w:hint="eastAsia"/>
              </w:rPr>
              <w:t>）中的标准要求。</w:t>
            </w:r>
          </w:p>
          <w:p>
            <w:pPr>
              <w:pStyle w:val="61"/>
              <w:spacing w:line="360" w:lineRule="auto"/>
              <w:rPr>
                <w:b/>
                <w:bCs/>
              </w:rPr>
            </w:pPr>
            <w:r>
              <w:rPr>
                <w:rFonts w:hint="eastAsia"/>
                <w:b/>
                <w:bCs/>
              </w:rPr>
              <w:t>（二）声环境</w:t>
            </w:r>
          </w:p>
          <w:p>
            <w:pPr>
              <w:pStyle w:val="61"/>
              <w:spacing w:line="360" w:lineRule="auto"/>
              <w:ind w:firstLine="480" w:firstLineChars="200"/>
            </w:pPr>
            <w:r>
              <w:rPr>
                <w:rFonts w:hint="eastAsia"/>
              </w:rPr>
              <w:t>本项目位于安康市平利县莲花台村，项目所在区域属于根据《声环境质量标准》（GB3096-2008）中声环境功能区分类，项目所在地属于2类声环境功能区。</w:t>
            </w:r>
          </w:p>
          <w:p>
            <w:pPr>
              <w:pStyle w:val="61"/>
              <w:spacing w:line="360" w:lineRule="auto"/>
              <w:ind w:firstLine="480" w:firstLineChars="200"/>
            </w:pPr>
            <w:r>
              <w:rPr>
                <w:rFonts w:hint="eastAsia"/>
              </w:rPr>
              <w:t>根据《建设项目环境影响报告表编制技术指南（污染影响类）》（试行）中“厂界外周边50米范围内存在声环境保护目标的建设项目，应监测保护目标声环境质量现状并评价达标情况”。经过现场踏勘，项目厂界外50m范围内无声环境保护目标。因此可不进行声环境质量现状监测。</w:t>
            </w:r>
          </w:p>
          <w:p>
            <w:pPr>
              <w:pStyle w:val="61"/>
              <w:spacing w:line="360" w:lineRule="auto"/>
              <w:rPr>
                <w:b/>
                <w:bCs/>
              </w:rPr>
            </w:pPr>
            <w:r>
              <w:rPr>
                <w:rFonts w:hint="eastAsia"/>
                <w:b/>
                <w:bCs/>
              </w:rPr>
              <w:t>（三）地表水环境</w:t>
            </w:r>
          </w:p>
          <w:p>
            <w:pPr>
              <w:pStyle w:val="61"/>
              <w:spacing w:line="360" w:lineRule="auto"/>
              <w:ind w:firstLine="480" w:firstLineChars="200"/>
            </w:pPr>
            <w:r>
              <w:rPr>
                <w:rFonts w:hint="eastAsia"/>
              </w:rPr>
              <w:t>由于本项目距离黄洋河较近，故委托陕西泽希检测服务有限公司于2023年2月7日~9日对项目所在地西侧黄洋河上、下游断面进行了地表水环境质量监测。监测数据摘录见表3-</w:t>
            </w:r>
            <w:r>
              <w:t>3</w:t>
            </w:r>
            <w:r>
              <w:rPr>
                <w:rFonts w:hint="eastAsia"/>
              </w:rPr>
              <w:t>。</w:t>
            </w:r>
          </w:p>
          <w:p>
            <w:pPr>
              <w:pStyle w:val="61"/>
              <w:jc w:val="center"/>
              <w:rPr>
                <w:b/>
                <w:bCs/>
                <w:sz w:val="20"/>
                <w:szCs w:val="21"/>
              </w:rPr>
            </w:pPr>
            <w:r>
              <w:rPr>
                <w:rFonts w:hint="eastAsia"/>
                <w:b/>
                <w:bCs/>
                <w:sz w:val="20"/>
                <w:szCs w:val="21"/>
              </w:rPr>
              <w:t>表3-9     地表水现状监测结果（单位：mg/L   pH 除外）</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329"/>
              <w:gridCol w:w="992"/>
              <w:gridCol w:w="992"/>
              <w:gridCol w:w="1146"/>
              <w:gridCol w:w="84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pStyle w:val="61"/>
                    <w:jc w:val="center"/>
                    <w:rPr>
                      <w:sz w:val="20"/>
                      <w:szCs w:val="21"/>
                    </w:rPr>
                  </w:pPr>
                  <w:r>
                    <w:rPr>
                      <w:rFonts w:hint="eastAsia"/>
                      <w:sz w:val="20"/>
                      <w:szCs w:val="21"/>
                    </w:rPr>
                    <w:t>监测日期</w:t>
                  </w:r>
                </w:p>
              </w:tc>
              <w:tc>
                <w:tcPr>
                  <w:tcW w:w="1329" w:type="dxa"/>
                  <w:vAlign w:val="center"/>
                </w:tcPr>
                <w:p>
                  <w:pPr>
                    <w:pStyle w:val="61"/>
                    <w:jc w:val="center"/>
                    <w:rPr>
                      <w:sz w:val="20"/>
                      <w:szCs w:val="21"/>
                    </w:rPr>
                  </w:pPr>
                  <w:r>
                    <w:rPr>
                      <w:rFonts w:hint="eastAsia"/>
                      <w:sz w:val="20"/>
                      <w:szCs w:val="21"/>
                    </w:rPr>
                    <w:t>监测项目</w:t>
                  </w:r>
                </w:p>
              </w:tc>
              <w:tc>
                <w:tcPr>
                  <w:tcW w:w="992" w:type="dxa"/>
                  <w:vAlign w:val="center"/>
                </w:tcPr>
                <w:p>
                  <w:pPr>
                    <w:pStyle w:val="61"/>
                    <w:jc w:val="center"/>
                    <w:rPr>
                      <w:sz w:val="20"/>
                      <w:szCs w:val="21"/>
                    </w:rPr>
                  </w:pPr>
                  <w:r>
                    <w:rPr>
                      <w:rFonts w:hint="eastAsia"/>
                      <w:sz w:val="20"/>
                      <w:szCs w:val="21"/>
                    </w:rPr>
                    <w:t>频次</w:t>
                  </w:r>
                </w:p>
              </w:tc>
              <w:tc>
                <w:tcPr>
                  <w:tcW w:w="992" w:type="dxa"/>
                  <w:vAlign w:val="center"/>
                </w:tcPr>
                <w:p>
                  <w:pPr>
                    <w:pStyle w:val="61"/>
                    <w:jc w:val="center"/>
                    <w:rPr>
                      <w:sz w:val="20"/>
                      <w:szCs w:val="21"/>
                    </w:rPr>
                  </w:pPr>
                  <w:r>
                    <w:rPr>
                      <w:rFonts w:hint="eastAsia"/>
                      <w:sz w:val="20"/>
                      <w:szCs w:val="21"/>
                    </w:rPr>
                    <w:t>1</w:t>
                  </w:r>
                  <w:r>
                    <w:rPr>
                      <w:sz w:val="20"/>
                      <w:szCs w:val="21"/>
                    </w:rPr>
                    <w:t>#</w:t>
                  </w:r>
                  <w:r>
                    <w:rPr>
                      <w:rFonts w:hint="eastAsia"/>
                      <w:sz w:val="20"/>
                      <w:szCs w:val="21"/>
                    </w:rPr>
                    <w:t>断面</w:t>
                  </w:r>
                </w:p>
              </w:tc>
              <w:tc>
                <w:tcPr>
                  <w:tcW w:w="1146" w:type="dxa"/>
                  <w:vAlign w:val="center"/>
                </w:tcPr>
                <w:p>
                  <w:pPr>
                    <w:pStyle w:val="61"/>
                    <w:jc w:val="center"/>
                    <w:rPr>
                      <w:sz w:val="20"/>
                      <w:szCs w:val="21"/>
                    </w:rPr>
                  </w:pPr>
                  <w:r>
                    <w:rPr>
                      <w:rFonts w:hint="eastAsia"/>
                      <w:sz w:val="20"/>
                      <w:szCs w:val="21"/>
                    </w:rPr>
                    <w:t>2</w:t>
                  </w:r>
                  <w:r>
                    <w:rPr>
                      <w:sz w:val="20"/>
                      <w:szCs w:val="21"/>
                    </w:rPr>
                    <w:t>#</w:t>
                  </w:r>
                  <w:r>
                    <w:rPr>
                      <w:rFonts w:hint="eastAsia"/>
                      <w:sz w:val="20"/>
                      <w:szCs w:val="21"/>
                    </w:rPr>
                    <w:t>断面</w:t>
                  </w:r>
                </w:p>
              </w:tc>
              <w:tc>
                <w:tcPr>
                  <w:tcW w:w="843" w:type="dxa"/>
                  <w:vAlign w:val="center"/>
                </w:tcPr>
                <w:p>
                  <w:pPr>
                    <w:pStyle w:val="61"/>
                    <w:jc w:val="center"/>
                    <w:rPr>
                      <w:sz w:val="20"/>
                      <w:szCs w:val="21"/>
                    </w:rPr>
                  </w:pPr>
                  <w:r>
                    <w:rPr>
                      <w:rFonts w:hint="eastAsia"/>
                      <w:sz w:val="20"/>
                      <w:szCs w:val="21"/>
                    </w:rPr>
                    <w:t>标准值</w:t>
                  </w:r>
                </w:p>
              </w:tc>
              <w:tc>
                <w:tcPr>
                  <w:tcW w:w="1061" w:type="dxa"/>
                  <w:vAlign w:val="center"/>
                </w:tcPr>
                <w:p>
                  <w:pPr>
                    <w:pStyle w:val="61"/>
                    <w:jc w:val="center"/>
                    <w:rPr>
                      <w:sz w:val="20"/>
                      <w:szCs w:val="21"/>
                    </w:rPr>
                  </w:pPr>
                  <w:r>
                    <w:rPr>
                      <w:rFonts w:hint="eastAsia"/>
                      <w:sz w:val="2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restart"/>
                  <w:vAlign w:val="center"/>
                </w:tcPr>
                <w:p>
                  <w:pPr>
                    <w:pStyle w:val="61"/>
                    <w:jc w:val="center"/>
                    <w:rPr>
                      <w:sz w:val="20"/>
                      <w:szCs w:val="21"/>
                    </w:rPr>
                  </w:pPr>
                  <w:r>
                    <w:rPr>
                      <w:rFonts w:hint="eastAsia"/>
                      <w:sz w:val="20"/>
                      <w:szCs w:val="21"/>
                    </w:rPr>
                    <w:t>2</w:t>
                  </w:r>
                  <w:r>
                    <w:rPr>
                      <w:sz w:val="20"/>
                      <w:szCs w:val="21"/>
                    </w:rPr>
                    <w:t>023.02.07</w:t>
                  </w:r>
                </w:p>
              </w:tc>
              <w:tc>
                <w:tcPr>
                  <w:tcW w:w="1329" w:type="dxa"/>
                  <w:vMerge w:val="restart"/>
                  <w:vAlign w:val="center"/>
                </w:tcPr>
                <w:p>
                  <w:pPr>
                    <w:pStyle w:val="61"/>
                    <w:jc w:val="center"/>
                    <w:rPr>
                      <w:sz w:val="20"/>
                      <w:szCs w:val="21"/>
                    </w:rPr>
                  </w:pPr>
                  <w:r>
                    <w:rPr>
                      <w:rFonts w:hint="eastAsia"/>
                      <w:sz w:val="20"/>
                      <w:szCs w:val="21"/>
                    </w:rPr>
                    <w:t>pH值</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7.23</w:t>
                  </w:r>
                </w:p>
              </w:tc>
              <w:tc>
                <w:tcPr>
                  <w:tcW w:w="1146" w:type="dxa"/>
                  <w:vAlign w:val="center"/>
                </w:tcPr>
                <w:p>
                  <w:pPr>
                    <w:pStyle w:val="61"/>
                    <w:jc w:val="center"/>
                    <w:rPr>
                      <w:sz w:val="20"/>
                      <w:szCs w:val="21"/>
                    </w:rPr>
                  </w:pPr>
                  <w:r>
                    <w:rPr>
                      <w:rFonts w:eastAsia="等线"/>
                      <w:sz w:val="21"/>
                      <w:szCs w:val="21"/>
                    </w:rPr>
                    <w:t>7.15</w:t>
                  </w:r>
                </w:p>
              </w:tc>
              <w:tc>
                <w:tcPr>
                  <w:tcW w:w="843" w:type="dxa"/>
                  <w:vMerge w:val="restart"/>
                  <w:vAlign w:val="center"/>
                </w:tcPr>
                <w:p>
                  <w:pPr>
                    <w:pStyle w:val="61"/>
                    <w:jc w:val="center"/>
                    <w:rPr>
                      <w:sz w:val="20"/>
                      <w:szCs w:val="21"/>
                    </w:rPr>
                  </w:pPr>
                  <w:r>
                    <w:rPr>
                      <w:rFonts w:hint="eastAsia"/>
                      <w:sz w:val="20"/>
                      <w:szCs w:val="21"/>
                    </w:rPr>
                    <w:t>6</w:t>
                  </w:r>
                  <w:r>
                    <w:rPr>
                      <w:sz w:val="20"/>
                      <w:szCs w:val="21"/>
                    </w:rPr>
                    <w:t>~9</w:t>
                  </w:r>
                </w:p>
              </w:tc>
              <w:tc>
                <w:tcPr>
                  <w:tcW w:w="1061" w:type="dxa"/>
                  <w:vAlign w:val="center"/>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7.15</w:t>
                  </w:r>
                </w:p>
              </w:tc>
              <w:tc>
                <w:tcPr>
                  <w:tcW w:w="1146" w:type="dxa"/>
                  <w:vAlign w:val="center"/>
                </w:tcPr>
                <w:p>
                  <w:pPr>
                    <w:pStyle w:val="61"/>
                    <w:jc w:val="center"/>
                    <w:rPr>
                      <w:sz w:val="20"/>
                      <w:szCs w:val="21"/>
                    </w:rPr>
                  </w:pPr>
                  <w:r>
                    <w:rPr>
                      <w:rFonts w:eastAsia="等线"/>
                      <w:sz w:val="21"/>
                      <w:szCs w:val="21"/>
                    </w:rPr>
                    <w:t>7.12</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化学需氧量</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hint="eastAsia" w:eastAsia="等线"/>
                      <w:sz w:val="21"/>
                      <w:szCs w:val="21"/>
                    </w:rPr>
                    <w:t>14</w:t>
                  </w:r>
                </w:p>
              </w:tc>
              <w:tc>
                <w:tcPr>
                  <w:tcW w:w="1146" w:type="dxa"/>
                  <w:vAlign w:val="center"/>
                </w:tcPr>
                <w:p>
                  <w:pPr>
                    <w:pStyle w:val="61"/>
                    <w:jc w:val="center"/>
                    <w:rPr>
                      <w:sz w:val="20"/>
                      <w:szCs w:val="21"/>
                    </w:rPr>
                  </w:pPr>
                  <w:r>
                    <w:rPr>
                      <w:rFonts w:eastAsia="等线"/>
                      <w:sz w:val="21"/>
                      <w:szCs w:val="21"/>
                    </w:rPr>
                    <w:t>14</w:t>
                  </w:r>
                </w:p>
              </w:tc>
              <w:tc>
                <w:tcPr>
                  <w:tcW w:w="843" w:type="dxa"/>
                  <w:vMerge w:val="restart"/>
                  <w:vAlign w:val="center"/>
                </w:tcPr>
                <w:p>
                  <w:pPr>
                    <w:pStyle w:val="61"/>
                    <w:jc w:val="center"/>
                    <w:rPr>
                      <w:sz w:val="20"/>
                      <w:szCs w:val="21"/>
                    </w:rPr>
                  </w:pPr>
                  <w:r>
                    <w:rPr>
                      <w:rFonts w:hint="eastAsia"/>
                      <w:sz w:val="20"/>
                      <w:szCs w:val="21"/>
                    </w:rPr>
                    <w:t>1</w:t>
                  </w:r>
                  <w:r>
                    <w:rPr>
                      <w:sz w:val="20"/>
                      <w:szCs w:val="21"/>
                    </w:rPr>
                    <w:t>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12</w:t>
                  </w:r>
                </w:p>
              </w:tc>
              <w:tc>
                <w:tcPr>
                  <w:tcW w:w="1146" w:type="dxa"/>
                  <w:vAlign w:val="center"/>
                </w:tcPr>
                <w:p>
                  <w:pPr>
                    <w:pStyle w:val="61"/>
                    <w:jc w:val="center"/>
                    <w:rPr>
                      <w:sz w:val="20"/>
                      <w:szCs w:val="21"/>
                    </w:rPr>
                  </w:pPr>
                  <w:r>
                    <w:rPr>
                      <w:rFonts w:eastAsia="等线"/>
                      <w:sz w:val="21"/>
                      <w:szCs w:val="21"/>
                    </w:rPr>
                    <w:t>11</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五日生化需氧量</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2.2</w:t>
                  </w:r>
                </w:p>
              </w:tc>
              <w:tc>
                <w:tcPr>
                  <w:tcW w:w="1146" w:type="dxa"/>
                  <w:vAlign w:val="center"/>
                </w:tcPr>
                <w:p>
                  <w:pPr>
                    <w:pStyle w:val="61"/>
                    <w:jc w:val="center"/>
                    <w:rPr>
                      <w:sz w:val="20"/>
                      <w:szCs w:val="21"/>
                    </w:rPr>
                  </w:pPr>
                  <w:r>
                    <w:rPr>
                      <w:rFonts w:hint="eastAsia" w:eastAsia="等线"/>
                      <w:sz w:val="21"/>
                      <w:szCs w:val="21"/>
                    </w:rPr>
                    <w:t>2.6</w:t>
                  </w:r>
                </w:p>
              </w:tc>
              <w:tc>
                <w:tcPr>
                  <w:tcW w:w="843" w:type="dxa"/>
                  <w:vMerge w:val="restart"/>
                  <w:vAlign w:val="center"/>
                </w:tcPr>
                <w:p>
                  <w:pPr>
                    <w:pStyle w:val="61"/>
                    <w:jc w:val="center"/>
                    <w:rPr>
                      <w:sz w:val="20"/>
                      <w:szCs w:val="21"/>
                    </w:rPr>
                  </w:pPr>
                  <w:r>
                    <w:rPr>
                      <w:rFonts w:hint="eastAsia"/>
                      <w:sz w:val="20"/>
                      <w:szCs w:val="21"/>
                    </w:rPr>
                    <w:t>3</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2.7</w:t>
                  </w:r>
                </w:p>
              </w:tc>
              <w:tc>
                <w:tcPr>
                  <w:tcW w:w="1146" w:type="dxa"/>
                  <w:vAlign w:val="center"/>
                </w:tcPr>
                <w:p>
                  <w:pPr>
                    <w:pStyle w:val="61"/>
                    <w:jc w:val="center"/>
                    <w:rPr>
                      <w:sz w:val="20"/>
                      <w:szCs w:val="21"/>
                    </w:rPr>
                  </w:pPr>
                  <w:r>
                    <w:rPr>
                      <w:rFonts w:hint="eastAsia" w:eastAsia="等线"/>
                      <w:sz w:val="21"/>
                      <w:szCs w:val="21"/>
                    </w:rPr>
                    <w:t>2.9</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氨氮</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0.201</w:t>
                  </w:r>
                </w:p>
              </w:tc>
              <w:tc>
                <w:tcPr>
                  <w:tcW w:w="1146" w:type="dxa"/>
                  <w:vAlign w:val="center"/>
                </w:tcPr>
                <w:p>
                  <w:pPr>
                    <w:pStyle w:val="61"/>
                    <w:jc w:val="center"/>
                    <w:rPr>
                      <w:sz w:val="20"/>
                      <w:szCs w:val="21"/>
                    </w:rPr>
                  </w:pPr>
                  <w:r>
                    <w:rPr>
                      <w:rFonts w:eastAsia="等线"/>
                      <w:sz w:val="21"/>
                      <w:szCs w:val="21"/>
                    </w:rPr>
                    <w:t>0.216</w:t>
                  </w:r>
                </w:p>
              </w:tc>
              <w:tc>
                <w:tcPr>
                  <w:tcW w:w="843" w:type="dxa"/>
                  <w:vMerge w:val="restart"/>
                  <w:vAlign w:val="center"/>
                </w:tcPr>
                <w:p>
                  <w:pPr>
                    <w:pStyle w:val="61"/>
                    <w:jc w:val="center"/>
                    <w:rPr>
                      <w:sz w:val="20"/>
                      <w:szCs w:val="21"/>
                    </w:rPr>
                  </w:pPr>
                  <w:r>
                    <w:rPr>
                      <w:rFonts w:hint="eastAsia"/>
                      <w:sz w:val="20"/>
                      <w:szCs w:val="21"/>
                    </w:rPr>
                    <w:t>0</w:t>
                  </w:r>
                  <w:r>
                    <w:rPr>
                      <w:sz w:val="20"/>
                      <w:szCs w:val="21"/>
                    </w:rPr>
                    <w:t>.5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0.189</w:t>
                  </w:r>
                </w:p>
              </w:tc>
              <w:tc>
                <w:tcPr>
                  <w:tcW w:w="1146" w:type="dxa"/>
                  <w:vAlign w:val="center"/>
                </w:tcPr>
                <w:p>
                  <w:pPr>
                    <w:pStyle w:val="61"/>
                    <w:jc w:val="center"/>
                    <w:rPr>
                      <w:sz w:val="20"/>
                      <w:szCs w:val="21"/>
                    </w:rPr>
                  </w:pPr>
                  <w:r>
                    <w:rPr>
                      <w:rFonts w:eastAsia="等线"/>
                      <w:sz w:val="21"/>
                      <w:szCs w:val="21"/>
                    </w:rPr>
                    <w:t>0.234</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总磷</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0.01</w:t>
                  </w:r>
                </w:p>
              </w:tc>
              <w:tc>
                <w:tcPr>
                  <w:tcW w:w="1146" w:type="dxa"/>
                  <w:vAlign w:val="center"/>
                </w:tcPr>
                <w:p>
                  <w:pPr>
                    <w:pStyle w:val="61"/>
                    <w:jc w:val="center"/>
                    <w:rPr>
                      <w:sz w:val="20"/>
                      <w:szCs w:val="21"/>
                    </w:rPr>
                  </w:pPr>
                  <w:r>
                    <w:rPr>
                      <w:rFonts w:eastAsia="等线"/>
                      <w:sz w:val="21"/>
                      <w:szCs w:val="21"/>
                    </w:rPr>
                    <w:t>0.01ND</w:t>
                  </w:r>
                </w:p>
              </w:tc>
              <w:tc>
                <w:tcPr>
                  <w:tcW w:w="843" w:type="dxa"/>
                  <w:vMerge w:val="restart"/>
                  <w:vAlign w:val="center"/>
                </w:tcPr>
                <w:p>
                  <w:pPr>
                    <w:pStyle w:val="61"/>
                    <w:jc w:val="center"/>
                    <w:rPr>
                      <w:sz w:val="20"/>
                      <w:szCs w:val="21"/>
                    </w:rPr>
                  </w:pPr>
                  <w:r>
                    <w:rPr>
                      <w:rFonts w:hint="eastAsia"/>
                      <w:sz w:val="20"/>
                      <w:szCs w:val="21"/>
                    </w:rPr>
                    <w:t>0</w:t>
                  </w:r>
                  <w:r>
                    <w:rPr>
                      <w:sz w:val="20"/>
                      <w:szCs w:val="21"/>
                    </w:rPr>
                    <w:t>.1</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0.02</w:t>
                  </w:r>
                </w:p>
              </w:tc>
              <w:tc>
                <w:tcPr>
                  <w:tcW w:w="1146" w:type="dxa"/>
                  <w:vAlign w:val="center"/>
                </w:tcPr>
                <w:p>
                  <w:pPr>
                    <w:pStyle w:val="61"/>
                    <w:jc w:val="center"/>
                    <w:rPr>
                      <w:sz w:val="20"/>
                      <w:szCs w:val="21"/>
                    </w:rPr>
                  </w:pPr>
                  <w:r>
                    <w:rPr>
                      <w:rFonts w:eastAsia="等线"/>
                      <w:sz w:val="21"/>
                      <w:szCs w:val="21"/>
                    </w:rPr>
                    <w:t>0.01ND</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石油类</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0.01ND</w:t>
                  </w:r>
                </w:p>
              </w:tc>
              <w:tc>
                <w:tcPr>
                  <w:tcW w:w="1146" w:type="dxa"/>
                  <w:vAlign w:val="center"/>
                </w:tcPr>
                <w:p>
                  <w:pPr>
                    <w:pStyle w:val="61"/>
                    <w:jc w:val="center"/>
                    <w:rPr>
                      <w:sz w:val="20"/>
                      <w:szCs w:val="21"/>
                    </w:rPr>
                  </w:pPr>
                  <w:r>
                    <w:rPr>
                      <w:rFonts w:eastAsia="等线"/>
                      <w:sz w:val="21"/>
                      <w:szCs w:val="21"/>
                    </w:rPr>
                    <w:t>0.01ND</w:t>
                  </w:r>
                </w:p>
              </w:tc>
              <w:tc>
                <w:tcPr>
                  <w:tcW w:w="843" w:type="dxa"/>
                  <w:vMerge w:val="restart"/>
                  <w:vAlign w:val="center"/>
                </w:tcPr>
                <w:p>
                  <w:pPr>
                    <w:pStyle w:val="61"/>
                    <w:jc w:val="center"/>
                    <w:rPr>
                      <w:sz w:val="20"/>
                      <w:szCs w:val="21"/>
                    </w:rPr>
                  </w:pPr>
                  <w:r>
                    <w:rPr>
                      <w:rFonts w:hint="eastAsia"/>
                      <w:sz w:val="20"/>
                      <w:szCs w:val="21"/>
                    </w:rPr>
                    <w:t>0</w:t>
                  </w:r>
                  <w:r>
                    <w:rPr>
                      <w:sz w:val="20"/>
                      <w:szCs w:val="21"/>
                    </w:rPr>
                    <w:t>.05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0.01ND</w:t>
                  </w:r>
                </w:p>
              </w:tc>
              <w:tc>
                <w:tcPr>
                  <w:tcW w:w="1146" w:type="dxa"/>
                  <w:vAlign w:val="center"/>
                </w:tcPr>
                <w:p>
                  <w:pPr>
                    <w:pStyle w:val="61"/>
                    <w:jc w:val="center"/>
                    <w:rPr>
                      <w:sz w:val="20"/>
                      <w:szCs w:val="21"/>
                    </w:rPr>
                  </w:pPr>
                  <w:r>
                    <w:rPr>
                      <w:rFonts w:eastAsia="等线"/>
                      <w:sz w:val="21"/>
                      <w:szCs w:val="21"/>
                    </w:rPr>
                    <w:t>0.01ND</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悬浮物</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15</w:t>
                  </w:r>
                </w:p>
              </w:tc>
              <w:tc>
                <w:tcPr>
                  <w:tcW w:w="1146" w:type="dxa"/>
                  <w:vAlign w:val="center"/>
                </w:tcPr>
                <w:p>
                  <w:pPr>
                    <w:pStyle w:val="61"/>
                    <w:jc w:val="center"/>
                    <w:rPr>
                      <w:sz w:val="20"/>
                      <w:szCs w:val="21"/>
                    </w:rPr>
                  </w:pPr>
                  <w:r>
                    <w:rPr>
                      <w:rFonts w:eastAsia="等线"/>
                      <w:sz w:val="21"/>
                      <w:szCs w:val="21"/>
                    </w:rPr>
                    <w:t>14</w:t>
                  </w:r>
                </w:p>
              </w:tc>
              <w:tc>
                <w:tcPr>
                  <w:tcW w:w="843" w:type="dxa"/>
                  <w:vMerge w:val="restart"/>
                  <w:vAlign w:val="center"/>
                </w:tcPr>
                <w:p>
                  <w:pPr>
                    <w:pStyle w:val="61"/>
                    <w:jc w:val="center"/>
                    <w:rPr>
                      <w:sz w:val="20"/>
                      <w:szCs w:val="21"/>
                    </w:rPr>
                  </w:pPr>
                  <w:r>
                    <w:rPr>
                      <w:rFonts w:hint="eastAsia"/>
                      <w:sz w:val="20"/>
                      <w:szCs w:val="21"/>
                    </w:rPr>
                    <w:t>/</w:t>
                  </w:r>
                </w:p>
              </w:tc>
              <w:tc>
                <w:tcPr>
                  <w:tcW w:w="1061" w:type="dxa"/>
                </w:tcPr>
                <w:p>
                  <w:pPr>
                    <w:pStyle w:val="61"/>
                    <w:jc w:val="center"/>
                    <w:rPr>
                      <w:sz w:val="20"/>
                      <w:szCs w:val="21"/>
                    </w:rPr>
                  </w:pPr>
                  <w:r>
                    <w:rPr>
                      <w:rFonts w:hint="eastAsia"/>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19</w:t>
                  </w:r>
                </w:p>
              </w:tc>
              <w:tc>
                <w:tcPr>
                  <w:tcW w:w="1146" w:type="dxa"/>
                  <w:vAlign w:val="center"/>
                </w:tcPr>
                <w:p>
                  <w:pPr>
                    <w:pStyle w:val="61"/>
                    <w:jc w:val="center"/>
                    <w:rPr>
                      <w:sz w:val="20"/>
                      <w:szCs w:val="21"/>
                    </w:rPr>
                  </w:pPr>
                  <w:r>
                    <w:rPr>
                      <w:rFonts w:eastAsia="等线"/>
                      <w:sz w:val="21"/>
                      <w:szCs w:val="21"/>
                    </w:rPr>
                    <w:t>13</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restart"/>
                  <w:vAlign w:val="center"/>
                </w:tcPr>
                <w:p>
                  <w:pPr>
                    <w:pStyle w:val="61"/>
                    <w:jc w:val="center"/>
                    <w:rPr>
                      <w:sz w:val="20"/>
                      <w:szCs w:val="21"/>
                    </w:rPr>
                  </w:pPr>
                  <w:r>
                    <w:rPr>
                      <w:rFonts w:hint="eastAsia"/>
                      <w:sz w:val="20"/>
                      <w:szCs w:val="21"/>
                    </w:rPr>
                    <w:t>2</w:t>
                  </w:r>
                  <w:r>
                    <w:rPr>
                      <w:sz w:val="20"/>
                      <w:szCs w:val="21"/>
                    </w:rPr>
                    <w:t>023.02.08</w:t>
                  </w:r>
                </w:p>
              </w:tc>
              <w:tc>
                <w:tcPr>
                  <w:tcW w:w="1329" w:type="dxa"/>
                  <w:vMerge w:val="restart"/>
                  <w:vAlign w:val="center"/>
                </w:tcPr>
                <w:p>
                  <w:pPr>
                    <w:pStyle w:val="61"/>
                    <w:jc w:val="center"/>
                    <w:rPr>
                      <w:sz w:val="20"/>
                      <w:szCs w:val="21"/>
                    </w:rPr>
                  </w:pPr>
                  <w:r>
                    <w:rPr>
                      <w:rFonts w:hint="eastAsia"/>
                      <w:sz w:val="20"/>
                      <w:szCs w:val="21"/>
                    </w:rPr>
                    <w:t>pH值</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7.33</w:t>
                  </w:r>
                </w:p>
              </w:tc>
              <w:tc>
                <w:tcPr>
                  <w:tcW w:w="1146" w:type="dxa"/>
                  <w:vAlign w:val="center"/>
                </w:tcPr>
                <w:p>
                  <w:pPr>
                    <w:pStyle w:val="61"/>
                    <w:jc w:val="center"/>
                    <w:rPr>
                      <w:sz w:val="20"/>
                      <w:szCs w:val="21"/>
                    </w:rPr>
                  </w:pPr>
                  <w:r>
                    <w:rPr>
                      <w:rFonts w:eastAsia="等线"/>
                      <w:sz w:val="21"/>
                      <w:szCs w:val="21"/>
                    </w:rPr>
                    <w:t>7.08</w:t>
                  </w:r>
                </w:p>
              </w:tc>
              <w:tc>
                <w:tcPr>
                  <w:tcW w:w="843" w:type="dxa"/>
                  <w:vMerge w:val="restart"/>
                  <w:vAlign w:val="center"/>
                </w:tcPr>
                <w:p>
                  <w:pPr>
                    <w:pStyle w:val="61"/>
                    <w:jc w:val="center"/>
                    <w:rPr>
                      <w:sz w:val="20"/>
                      <w:szCs w:val="21"/>
                    </w:rPr>
                  </w:pPr>
                  <w:r>
                    <w:rPr>
                      <w:rFonts w:hint="eastAsia"/>
                      <w:sz w:val="20"/>
                      <w:szCs w:val="21"/>
                    </w:rPr>
                    <w:t>6</w:t>
                  </w:r>
                  <w:r>
                    <w:rPr>
                      <w:sz w:val="20"/>
                      <w:szCs w:val="21"/>
                    </w:rPr>
                    <w:t>~9</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7.39</w:t>
                  </w:r>
                </w:p>
              </w:tc>
              <w:tc>
                <w:tcPr>
                  <w:tcW w:w="1146" w:type="dxa"/>
                  <w:vAlign w:val="center"/>
                </w:tcPr>
                <w:p>
                  <w:pPr>
                    <w:pStyle w:val="61"/>
                    <w:jc w:val="center"/>
                    <w:rPr>
                      <w:sz w:val="20"/>
                      <w:szCs w:val="21"/>
                    </w:rPr>
                  </w:pPr>
                  <w:r>
                    <w:rPr>
                      <w:rFonts w:eastAsia="等线"/>
                      <w:sz w:val="21"/>
                      <w:szCs w:val="21"/>
                    </w:rPr>
                    <w:t>7.05</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化学需氧量</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hint="eastAsia" w:eastAsia="等线"/>
                      <w:sz w:val="21"/>
                      <w:szCs w:val="21"/>
                    </w:rPr>
                    <w:t>14</w:t>
                  </w:r>
                </w:p>
              </w:tc>
              <w:tc>
                <w:tcPr>
                  <w:tcW w:w="1146" w:type="dxa"/>
                  <w:vAlign w:val="center"/>
                </w:tcPr>
                <w:p>
                  <w:pPr>
                    <w:pStyle w:val="61"/>
                    <w:jc w:val="center"/>
                    <w:rPr>
                      <w:sz w:val="20"/>
                      <w:szCs w:val="21"/>
                    </w:rPr>
                  </w:pPr>
                  <w:r>
                    <w:rPr>
                      <w:rFonts w:hint="eastAsia" w:eastAsia="等线"/>
                      <w:sz w:val="21"/>
                      <w:szCs w:val="21"/>
                    </w:rPr>
                    <w:t>14</w:t>
                  </w:r>
                </w:p>
              </w:tc>
              <w:tc>
                <w:tcPr>
                  <w:tcW w:w="843" w:type="dxa"/>
                  <w:vMerge w:val="restart"/>
                  <w:vAlign w:val="center"/>
                </w:tcPr>
                <w:p>
                  <w:pPr>
                    <w:pStyle w:val="61"/>
                    <w:jc w:val="center"/>
                    <w:rPr>
                      <w:sz w:val="20"/>
                      <w:szCs w:val="21"/>
                    </w:rPr>
                  </w:pPr>
                  <w:r>
                    <w:rPr>
                      <w:rFonts w:hint="eastAsia"/>
                      <w:sz w:val="20"/>
                      <w:szCs w:val="21"/>
                    </w:rPr>
                    <w:t>1</w:t>
                  </w:r>
                  <w:r>
                    <w:rPr>
                      <w:sz w:val="20"/>
                      <w:szCs w:val="21"/>
                    </w:rPr>
                    <w:t>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hint="eastAsia" w:eastAsia="等线"/>
                      <w:sz w:val="21"/>
                      <w:szCs w:val="21"/>
                    </w:rPr>
                    <w:t>13</w:t>
                  </w:r>
                </w:p>
              </w:tc>
              <w:tc>
                <w:tcPr>
                  <w:tcW w:w="1146" w:type="dxa"/>
                  <w:vAlign w:val="center"/>
                </w:tcPr>
                <w:p>
                  <w:pPr>
                    <w:pStyle w:val="61"/>
                    <w:jc w:val="center"/>
                    <w:rPr>
                      <w:sz w:val="20"/>
                      <w:szCs w:val="21"/>
                    </w:rPr>
                  </w:pPr>
                  <w:r>
                    <w:rPr>
                      <w:rFonts w:hint="eastAsia" w:eastAsia="等线"/>
                      <w:sz w:val="21"/>
                      <w:szCs w:val="21"/>
                    </w:rPr>
                    <w:t>12</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五日生化需氧量</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2.6</w:t>
                  </w:r>
                </w:p>
              </w:tc>
              <w:tc>
                <w:tcPr>
                  <w:tcW w:w="1146" w:type="dxa"/>
                  <w:vAlign w:val="center"/>
                </w:tcPr>
                <w:p>
                  <w:pPr>
                    <w:pStyle w:val="61"/>
                    <w:jc w:val="center"/>
                    <w:rPr>
                      <w:sz w:val="20"/>
                      <w:szCs w:val="21"/>
                    </w:rPr>
                  </w:pPr>
                  <w:r>
                    <w:rPr>
                      <w:rFonts w:hint="eastAsia" w:eastAsia="等线"/>
                      <w:sz w:val="21"/>
                      <w:szCs w:val="21"/>
                    </w:rPr>
                    <w:t>2.8</w:t>
                  </w:r>
                </w:p>
              </w:tc>
              <w:tc>
                <w:tcPr>
                  <w:tcW w:w="843" w:type="dxa"/>
                  <w:vMerge w:val="restart"/>
                  <w:vAlign w:val="center"/>
                </w:tcPr>
                <w:p>
                  <w:pPr>
                    <w:pStyle w:val="61"/>
                    <w:jc w:val="center"/>
                    <w:rPr>
                      <w:sz w:val="20"/>
                      <w:szCs w:val="21"/>
                    </w:rPr>
                  </w:pPr>
                  <w:r>
                    <w:rPr>
                      <w:rFonts w:hint="eastAsia"/>
                      <w:sz w:val="20"/>
                      <w:szCs w:val="21"/>
                    </w:rPr>
                    <w:t>3</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2.9</w:t>
                  </w:r>
                </w:p>
              </w:tc>
              <w:tc>
                <w:tcPr>
                  <w:tcW w:w="1146" w:type="dxa"/>
                  <w:vAlign w:val="center"/>
                </w:tcPr>
                <w:p>
                  <w:pPr>
                    <w:pStyle w:val="61"/>
                    <w:jc w:val="center"/>
                    <w:rPr>
                      <w:sz w:val="20"/>
                      <w:szCs w:val="21"/>
                    </w:rPr>
                  </w:pPr>
                  <w:r>
                    <w:rPr>
                      <w:rFonts w:hint="eastAsia" w:eastAsia="等线"/>
                      <w:sz w:val="21"/>
                      <w:szCs w:val="21"/>
                    </w:rPr>
                    <w:t>2.5</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氨氮</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0.246</w:t>
                  </w:r>
                </w:p>
              </w:tc>
              <w:tc>
                <w:tcPr>
                  <w:tcW w:w="1146" w:type="dxa"/>
                  <w:vAlign w:val="center"/>
                </w:tcPr>
                <w:p>
                  <w:pPr>
                    <w:pStyle w:val="61"/>
                    <w:jc w:val="center"/>
                    <w:rPr>
                      <w:sz w:val="20"/>
                      <w:szCs w:val="21"/>
                    </w:rPr>
                  </w:pPr>
                  <w:r>
                    <w:rPr>
                      <w:rFonts w:eastAsia="等线"/>
                      <w:sz w:val="21"/>
                      <w:szCs w:val="21"/>
                    </w:rPr>
                    <w:t>0.258</w:t>
                  </w:r>
                </w:p>
              </w:tc>
              <w:tc>
                <w:tcPr>
                  <w:tcW w:w="843" w:type="dxa"/>
                  <w:vMerge w:val="restart"/>
                  <w:vAlign w:val="center"/>
                </w:tcPr>
                <w:p>
                  <w:pPr>
                    <w:pStyle w:val="61"/>
                    <w:jc w:val="center"/>
                    <w:rPr>
                      <w:sz w:val="20"/>
                      <w:szCs w:val="21"/>
                    </w:rPr>
                  </w:pPr>
                  <w:r>
                    <w:rPr>
                      <w:rFonts w:hint="eastAsia"/>
                      <w:sz w:val="20"/>
                      <w:szCs w:val="21"/>
                    </w:rPr>
                    <w:t>0</w:t>
                  </w:r>
                  <w:r>
                    <w:rPr>
                      <w:sz w:val="20"/>
                      <w:szCs w:val="21"/>
                    </w:rPr>
                    <w:t>.5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w:t>
                  </w:r>
                  <w:r>
                    <w:rPr>
                      <w:rFonts w:hint="eastAsia" w:eastAsia="等线"/>
                      <w:sz w:val="21"/>
                      <w:szCs w:val="21"/>
                    </w:rPr>
                    <w:t>2</w:t>
                  </w:r>
                  <w:r>
                    <w:rPr>
                      <w:rFonts w:eastAsia="等线"/>
                      <w:sz w:val="21"/>
                      <w:szCs w:val="21"/>
                    </w:rPr>
                    <w:t>67</w:t>
                  </w:r>
                </w:p>
              </w:tc>
              <w:tc>
                <w:tcPr>
                  <w:tcW w:w="1146" w:type="dxa"/>
                  <w:vAlign w:val="center"/>
                </w:tcPr>
                <w:p>
                  <w:pPr>
                    <w:pStyle w:val="61"/>
                    <w:jc w:val="center"/>
                    <w:rPr>
                      <w:sz w:val="20"/>
                      <w:szCs w:val="21"/>
                    </w:rPr>
                  </w:pPr>
                  <w:r>
                    <w:rPr>
                      <w:rFonts w:eastAsia="等线"/>
                      <w:sz w:val="21"/>
                      <w:szCs w:val="21"/>
                    </w:rPr>
                    <w:t>0.246</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总磷</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0.01</w:t>
                  </w:r>
                </w:p>
              </w:tc>
              <w:tc>
                <w:tcPr>
                  <w:tcW w:w="1146" w:type="dxa"/>
                  <w:vAlign w:val="center"/>
                </w:tcPr>
                <w:p>
                  <w:pPr>
                    <w:pStyle w:val="61"/>
                    <w:jc w:val="center"/>
                    <w:rPr>
                      <w:sz w:val="20"/>
                      <w:szCs w:val="21"/>
                    </w:rPr>
                  </w:pPr>
                  <w:r>
                    <w:rPr>
                      <w:rFonts w:eastAsia="等线"/>
                      <w:sz w:val="21"/>
                      <w:szCs w:val="21"/>
                    </w:rPr>
                    <w:t>0.01ND</w:t>
                  </w:r>
                </w:p>
              </w:tc>
              <w:tc>
                <w:tcPr>
                  <w:tcW w:w="843" w:type="dxa"/>
                  <w:vMerge w:val="restart"/>
                  <w:vAlign w:val="center"/>
                </w:tcPr>
                <w:p>
                  <w:pPr>
                    <w:pStyle w:val="61"/>
                    <w:jc w:val="center"/>
                    <w:rPr>
                      <w:sz w:val="20"/>
                      <w:szCs w:val="21"/>
                    </w:rPr>
                  </w:pPr>
                  <w:r>
                    <w:rPr>
                      <w:rFonts w:hint="eastAsia"/>
                      <w:sz w:val="20"/>
                      <w:szCs w:val="21"/>
                    </w:rPr>
                    <w:t>0</w:t>
                  </w:r>
                  <w:r>
                    <w:rPr>
                      <w:sz w:val="20"/>
                      <w:szCs w:val="21"/>
                    </w:rPr>
                    <w:t>.1</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0.01</w:t>
                  </w:r>
                </w:p>
              </w:tc>
              <w:tc>
                <w:tcPr>
                  <w:tcW w:w="1146" w:type="dxa"/>
                  <w:vAlign w:val="center"/>
                </w:tcPr>
                <w:p>
                  <w:pPr>
                    <w:pStyle w:val="61"/>
                    <w:jc w:val="center"/>
                    <w:rPr>
                      <w:sz w:val="20"/>
                      <w:szCs w:val="21"/>
                    </w:rPr>
                  </w:pPr>
                  <w:r>
                    <w:rPr>
                      <w:rFonts w:eastAsia="等线"/>
                      <w:sz w:val="21"/>
                      <w:szCs w:val="21"/>
                    </w:rPr>
                    <w:t>0.01ND</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石油类</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0.01ND</w:t>
                  </w:r>
                </w:p>
              </w:tc>
              <w:tc>
                <w:tcPr>
                  <w:tcW w:w="1146" w:type="dxa"/>
                  <w:vAlign w:val="center"/>
                </w:tcPr>
                <w:p>
                  <w:pPr>
                    <w:pStyle w:val="61"/>
                    <w:jc w:val="center"/>
                    <w:rPr>
                      <w:sz w:val="20"/>
                      <w:szCs w:val="21"/>
                    </w:rPr>
                  </w:pPr>
                  <w:r>
                    <w:rPr>
                      <w:rFonts w:eastAsia="等线"/>
                      <w:sz w:val="21"/>
                      <w:szCs w:val="21"/>
                    </w:rPr>
                    <w:t>0.01ND</w:t>
                  </w:r>
                </w:p>
              </w:tc>
              <w:tc>
                <w:tcPr>
                  <w:tcW w:w="843" w:type="dxa"/>
                  <w:vMerge w:val="restart"/>
                  <w:vAlign w:val="center"/>
                </w:tcPr>
                <w:p>
                  <w:pPr>
                    <w:pStyle w:val="61"/>
                    <w:jc w:val="center"/>
                    <w:rPr>
                      <w:sz w:val="20"/>
                      <w:szCs w:val="21"/>
                    </w:rPr>
                  </w:pPr>
                  <w:r>
                    <w:rPr>
                      <w:rFonts w:hint="eastAsia"/>
                      <w:sz w:val="20"/>
                      <w:szCs w:val="21"/>
                    </w:rPr>
                    <w:t>0</w:t>
                  </w:r>
                  <w:r>
                    <w:rPr>
                      <w:sz w:val="20"/>
                      <w:szCs w:val="21"/>
                    </w:rPr>
                    <w:t>.05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0.01ND</w:t>
                  </w:r>
                </w:p>
              </w:tc>
              <w:tc>
                <w:tcPr>
                  <w:tcW w:w="1146" w:type="dxa"/>
                  <w:vAlign w:val="center"/>
                </w:tcPr>
                <w:p>
                  <w:pPr>
                    <w:pStyle w:val="61"/>
                    <w:jc w:val="center"/>
                    <w:rPr>
                      <w:sz w:val="20"/>
                      <w:szCs w:val="21"/>
                    </w:rPr>
                  </w:pPr>
                  <w:r>
                    <w:rPr>
                      <w:rFonts w:eastAsia="等线"/>
                      <w:sz w:val="21"/>
                      <w:szCs w:val="21"/>
                    </w:rPr>
                    <w:t>0.01ND</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悬浮物</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13</w:t>
                  </w:r>
                </w:p>
              </w:tc>
              <w:tc>
                <w:tcPr>
                  <w:tcW w:w="1146" w:type="dxa"/>
                  <w:vAlign w:val="center"/>
                </w:tcPr>
                <w:p>
                  <w:pPr>
                    <w:pStyle w:val="61"/>
                    <w:jc w:val="center"/>
                    <w:rPr>
                      <w:sz w:val="20"/>
                      <w:szCs w:val="21"/>
                    </w:rPr>
                  </w:pPr>
                  <w:r>
                    <w:rPr>
                      <w:rFonts w:eastAsia="等线"/>
                      <w:sz w:val="21"/>
                      <w:szCs w:val="21"/>
                    </w:rPr>
                    <w:t>15</w:t>
                  </w:r>
                </w:p>
              </w:tc>
              <w:tc>
                <w:tcPr>
                  <w:tcW w:w="843" w:type="dxa"/>
                  <w:vMerge w:val="restart"/>
                  <w:vAlign w:val="center"/>
                </w:tcPr>
                <w:p>
                  <w:pPr>
                    <w:pStyle w:val="61"/>
                    <w:jc w:val="center"/>
                    <w:rPr>
                      <w:sz w:val="20"/>
                      <w:szCs w:val="21"/>
                    </w:rPr>
                  </w:pPr>
                  <w:r>
                    <w:rPr>
                      <w:rFonts w:hint="eastAsia"/>
                      <w:sz w:val="20"/>
                      <w:szCs w:val="21"/>
                    </w:rPr>
                    <w:t>/</w:t>
                  </w:r>
                </w:p>
              </w:tc>
              <w:tc>
                <w:tcPr>
                  <w:tcW w:w="1061" w:type="dxa"/>
                </w:tcPr>
                <w:p>
                  <w:pPr>
                    <w:pStyle w:val="61"/>
                    <w:jc w:val="center"/>
                    <w:rPr>
                      <w:sz w:val="20"/>
                      <w:szCs w:val="21"/>
                    </w:rPr>
                  </w:pPr>
                  <w:r>
                    <w:rPr>
                      <w:rFonts w:hint="eastAsia"/>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16</w:t>
                  </w:r>
                </w:p>
              </w:tc>
              <w:tc>
                <w:tcPr>
                  <w:tcW w:w="1146" w:type="dxa"/>
                  <w:vAlign w:val="center"/>
                </w:tcPr>
                <w:p>
                  <w:pPr>
                    <w:pStyle w:val="61"/>
                    <w:jc w:val="center"/>
                    <w:rPr>
                      <w:sz w:val="20"/>
                      <w:szCs w:val="21"/>
                    </w:rPr>
                  </w:pPr>
                  <w:r>
                    <w:rPr>
                      <w:rFonts w:eastAsia="等线"/>
                      <w:sz w:val="21"/>
                      <w:szCs w:val="21"/>
                    </w:rPr>
                    <w:t>18</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restart"/>
                  <w:vAlign w:val="center"/>
                </w:tcPr>
                <w:p>
                  <w:pPr>
                    <w:pStyle w:val="61"/>
                    <w:jc w:val="center"/>
                    <w:rPr>
                      <w:sz w:val="20"/>
                      <w:szCs w:val="21"/>
                    </w:rPr>
                  </w:pPr>
                  <w:r>
                    <w:rPr>
                      <w:rFonts w:hint="eastAsia"/>
                      <w:sz w:val="20"/>
                      <w:szCs w:val="21"/>
                    </w:rPr>
                    <w:t>2</w:t>
                  </w:r>
                  <w:r>
                    <w:rPr>
                      <w:sz w:val="20"/>
                      <w:szCs w:val="21"/>
                    </w:rPr>
                    <w:t>023.02.09</w:t>
                  </w:r>
                </w:p>
              </w:tc>
              <w:tc>
                <w:tcPr>
                  <w:tcW w:w="1329" w:type="dxa"/>
                  <w:vMerge w:val="restart"/>
                  <w:vAlign w:val="center"/>
                </w:tcPr>
                <w:p>
                  <w:pPr>
                    <w:pStyle w:val="61"/>
                    <w:jc w:val="center"/>
                    <w:rPr>
                      <w:sz w:val="20"/>
                      <w:szCs w:val="21"/>
                    </w:rPr>
                  </w:pPr>
                  <w:r>
                    <w:rPr>
                      <w:rFonts w:hint="eastAsia"/>
                      <w:sz w:val="20"/>
                      <w:szCs w:val="21"/>
                    </w:rPr>
                    <w:t>pH值</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7.26</w:t>
                  </w:r>
                </w:p>
              </w:tc>
              <w:tc>
                <w:tcPr>
                  <w:tcW w:w="1146" w:type="dxa"/>
                  <w:vAlign w:val="center"/>
                </w:tcPr>
                <w:p>
                  <w:pPr>
                    <w:pStyle w:val="61"/>
                    <w:jc w:val="center"/>
                    <w:rPr>
                      <w:sz w:val="20"/>
                      <w:szCs w:val="21"/>
                    </w:rPr>
                  </w:pPr>
                  <w:r>
                    <w:rPr>
                      <w:rFonts w:eastAsia="等线"/>
                      <w:sz w:val="21"/>
                      <w:szCs w:val="21"/>
                    </w:rPr>
                    <w:t>7.13</w:t>
                  </w:r>
                </w:p>
              </w:tc>
              <w:tc>
                <w:tcPr>
                  <w:tcW w:w="843" w:type="dxa"/>
                  <w:vMerge w:val="restart"/>
                  <w:vAlign w:val="center"/>
                </w:tcPr>
                <w:p>
                  <w:pPr>
                    <w:pStyle w:val="61"/>
                    <w:jc w:val="center"/>
                    <w:rPr>
                      <w:sz w:val="20"/>
                      <w:szCs w:val="21"/>
                    </w:rPr>
                  </w:pPr>
                  <w:r>
                    <w:rPr>
                      <w:rFonts w:hint="eastAsia"/>
                      <w:sz w:val="20"/>
                      <w:szCs w:val="21"/>
                    </w:rPr>
                    <w:t>6</w:t>
                  </w:r>
                  <w:r>
                    <w:rPr>
                      <w:sz w:val="20"/>
                      <w:szCs w:val="21"/>
                    </w:rPr>
                    <w:t>~9</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7.31</w:t>
                  </w:r>
                </w:p>
              </w:tc>
              <w:tc>
                <w:tcPr>
                  <w:tcW w:w="1146" w:type="dxa"/>
                  <w:vAlign w:val="center"/>
                </w:tcPr>
                <w:p>
                  <w:pPr>
                    <w:pStyle w:val="61"/>
                    <w:jc w:val="center"/>
                    <w:rPr>
                      <w:sz w:val="20"/>
                      <w:szCs w:val="21"/>
                    </w:rPr>
                  </w:pPr>
                  <w:r>
                    <w:rPr>
                      <w:rFonts w:eastAsia="等线"/>
                      <w:sz w:val="21"/>
                      <w:szCs w:val="21"/>
                    </w:rPr>
                    <w:t>7.09</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化学需氧量</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hint="eastAsia" w:eastAsia="等线"/>
                      <w:sz w:val="21"/>
                      <w:szCs w:val="21"/>
                    </w:rPr>
                    <w:t>13</w:t>
                  </w:r>
                </w:p>
              </w:tc>
              <w:tc>
                <w:tcPr>
                  <w:tcW w:w="1146" w:type="dxa"/>
                  <w:vAlign w:val="center"/>
                </w:tcPr>
                <w:p>
                  <w:pPr>
                    <w:pStyle w:val="61"/>
                    <w:jc w:val="center"/>
                    <w:rPr>
                      <w:sz w:val="20"/>
                      <w:szCs w:val="21"/>
                    </w:rPr>
                  </w:pPr>
                  <w:r>
                    <w:rPr>
                      <w:rFonts w:hint="eastAsia" w:eastAsia="等线"/>
                      <w:sz w:val="21"/>
                      <w:szCs w:val="21"/>
                    </w:rPr>
                    <w:t>14</w:t>
                  </w:r>
                </w:p>
              </w:tc>
              <w:tc>
                <w:tcPr>
                  <w:tcW w:w="843" w:type="dxa"/>
                  <w:vMerge w:val="restart"/>
                  <w:vAlign w:val="center"/>
                </w:tcPr>
                <w:p>
                  <w:pPr>
                    <w:pStyle w:val="61"/>
                    <w:jc w:val="center"/>
                    <w:rPr>
                      <w:sz w:val="20"/>
                      <w:szCs w:val="21"/>
                    </w:rPr>
                  </w:pPr>
                  <w:r>
                    <w:rPr>
                      <w:rFonts w:hint="eastAsia"/>
                      <w:sz w:val="20"/>
                      <w:szCs w:val="21"/>
                    </w:rPr>
                    <w:t>1</w:t>
                  </w:r>
                  <w:r>
                    <w:rPr>
                      <w:sz w:val="20"/>
                      <w:szCs w:val="21"/>
                    </w:rPr>
                    <w:t>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14</w:t>
                  </w:r>
                </w:p>
              </w:tc>
              <w:tc>
                <w:tcPr>
                  <w:tcW w:w="1146" w:type="dxa"/>
                  <w:vAlign w:val="center"/>
                </w:tcPr>
                <w:p>
                  <w:pPr>
                    <w:pStyle w:val="61"/>
                    <w:jc w:val="center"/>
                    <w:rPr>
                      <w:sz w:val="20"/>
                      <w:szCs w:val="21"/>
                    </w:rPr>
                  </w:pPr>
                  <w:r>
                    <w:rPr>
                      <w:rFonts w:hint="eastAsia" w:eastAsia="等线"/>
                      <w:sz w:val="21"/>
                      <w:szCs w:val="21"/>
                    </w:rPr>
                    <w:t>13</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五日生化需氧量</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hint="eastAsia" w:eastAsia="等线"/>
                      <w:sz w:val="21"/>
                      <w:szCs w:val="21"/>
                    </w:rPr>
                    <w:t>2.8</w:t>
                  </w:r>
                </w:p>
              </w:tc>
              <w:tc>
                <w:tcPr>
                  <w:tcW w:w="1146" w:type="dxa"/>
                  <w:vAlign w:val="center"/>
                </w:tcPr>
                <w:p>
                  <w:pPr>
                    <w:pStyle w:val="61"/>
                    <w:jc w:val="center"/>
                    <w:rPr>
                      <w:sz w:val="20"/>
                      <w:szCs w:val="21"/>
                    </w:rPr>
                  </w:pPr>
                  <w:r>
                    <w:rPr>
                      <w:rFonts w:eastAsia="等线"/>
                      <w:sz w:val="21"/>
                      <w:szCs w:val="21"/>
                    </w:rPr>
                    <w:t>2.5</w:t>
                  </w:r>
                </w:p>
              </w:tc>
              <w:tc>
                <w:tcPr>
                  <w:tcW w:w="843" w:type="dxa"/>
                  <w:vMerge w:val="restart"/>
                  <w:vAlign w:val="center"/>
                </w:tcPr>
                <w:p>
                  <w:pPr>
                    <w:pStyle w:val="61"/>
                    <w:jc w:val="center"/>
                    <w:rPr>
                      <w:sz w:val="20"/>
                      <w:szCs w:val="21"/>
                    </w:rPr>
                  </w:pPr>
                  <w:r>
                    <w:rPr>
                      <w:rFonts w:hint="eastAsia"/>
                      <w:sz w:val="20"/>
                      <w:szCs w:val="21"/>
                    </w:rPr>
                    <w:t>3</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2.2</w:t>
                  </w:r>
                </w:p>
              </w:tc>
              <w:tc>
                <w:tcPr>
                  <w:tcW w:w="1146" w:type="dxa"/>
                  <w:vAlign w:val="center"/>
                </w:tcPr>
                <w:p>
                  <w:pPr>
                    <w:pStyle w:val="61"/>
                    <w:jc w:val="center"/>
                    <w:rPr>
                      <w:sz w:val="20"/>
                      <w:szCs w:val="21"/>
                    </w:rPr>
                  </w:pPr>
                  <w:r>
                    <w:rPr>
                      <w:rFonts w:eastAsia="等线"/>
                      <w:sz w:val="21"/>
                      <w:szCs w:val="21"/>
                    </w:rPr>
                    <w:t>2.4</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氨氮</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0.279</w:t>
                  </w:r>
                </w:p>
              </w:tc>
              <w:tc>
                <w:tcPr>
                  <w:tcW w:w="1146" w:type="dxa"/>
                  <w:vAlign w:val="center"/>
                </w:tcPr>
                <w:p>
                  <w:pPr>
                    <w:pStyle w:val="61"/>
                    <w:jc w:val="center"/>
                    <w:rPr>
                      <w:sz w:val="20"/>
                      <w:szCs w:val="21"/>
                    </w:rPr>
                  </w:pPr>
                  <w:r>
                    <w:rPr>
                      <w:rFonts w:eastAsia="等线"/>
                      <w:sz w:val="21"/>
                      <w:szCs w:val="21"/>
                    </w:rPr>
                    <w:t>0.276</w:t>
                  </w:r>
                </w:p>
              </w:tc>
              <w:tc>
                <w:tcPr>
                  <w:tcW w:w="843" w:type="dxa"/>
                  <w:vMerge w:val="restart"/>
                  <w:vAlign w:val="center"/>
                </w:tcPr>
                <w:p>
                  <w:pPr>
                    <w:pStyle w:val="61"/>
                    <w:jc w:val="center"/>
                    <w:rPr>
                      <w:sz w:val="20"/>
                      <w:szCs w:val="21"/>
                    </w:rPr>
                  </w:pPr>
                  <w:r>
                    <w:rPr>
                      <w:rFonts w:hint="eastAsia"/>
                      <w:sz w:val="20"/>
                      <w:szCs w:val="21"/>
                    </w:rPr>
                    <w:t>0</w:t>
                  </w:r>
                  <w:r>
                    <w:rPr>
                      <w:sz w:val="20"/>
                      <w:szCs w:val="21"/>
                    </w:rPr>
                    <w:t>.5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0.291</w:t>
                  </w:r>
                </w:p>
              </w:tc>
              <w:tc>
                <w:tcPr>
                  <w:tcW w:w="1146" w:type="dxa"/>
                  <w:vAlign w:val="center"/>
                </w:tcPr>
                <w:p>
                  <w:pPr>
                    <w:pStyle w:val="61"/>
                    <w:jc w:val="center"/>
                    <w:rPr>
                      <w:sz w:val="20"/>
                      <w:szCs w:val="21"/>
                    </w:rPr>
                  </w:pPr>
                  <w:r>
                    <w:rPr>
                      <w:rFonts w:eastAsia="等线"/>
                      <w:sz w:val="21"/>
                      <w:szCs w:val="21"/>
                    </w:rPr>
                    <w:t>0.282</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总磷</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0.02</w:t>
                  </w:r>
                </w:p>
              </w:tc>
              <w:tc>
                <w:tcPr>
                  <w:tcW w:w="1146" w:type="dxa"/>
                  <w:vAlign w:val="center"/>
                </w:tcPr>
                <w:p>
                  <w:pPr>
                    <w:pStyle w:val="61"/>
                    <w:jc w:val="center"/>
                    <w:rPr>
                      <w:sz w:val="20"/>
                      <w:szCs w:val="21"/>
                    </w:rPr>
                  </w:pPr>
                  <w:r>
                    <w:rPr>
                      <w:rFonts w:eastAsia="等线"/>
                      <w:sz w:val="21"/>
                      <w:szCs w:val="21"/>
                    </w:rPr>
                    <w:t>0.01ND</w:t>
                  </w:r>
                </w:p>
              </w:tc>
              <w:tc>
                <w:tcPr>
                  <w:tcW w:w="843" w:type="dxa"/>
                  <w:vMerge w:val="restart"/>
                  <w:vAlign w:val="center"/>
                </w:tcPr>
                <w:p>
                  <w:pPr>
                    <w:pStyle w:val="61"/>
                    <w:jc w:val="center"/>
                    <w:rPr>
                      <w:sz w:val="20"/>
                      <w:szCs w:val="21"/>
                    </w:rPr>
                  </w:pPr>
                  <w:r>
                    <w:rPr>
                      <w:rFonts w:hint="eastAsia"/>
                      <w:sz w:val="20"/>
                      <w:szCs w:val="21"/>
                    </w:rPr>
                    <w:t>0</w:t>
                  </w:r>
                  <w:r>
                    <w:rPr>
                      <w:sz w:val="20"/>
                      <w:szCs w:val="21"/>
                    </w:rPr>
                    <w:t>.1</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0.01</w:t>
                  </w:r>
                </w:p>
              </w:tc>
              <w:tc>
                <w:tcPr>
                  <w:tcW w:w="1146" w:type="dxa"/>
                  <w:vAlign w:val="center"/>
                </w:tcPr>
                <w:p>
                  <w:pPr>
                    <w:pStyle w:val="61"/>
                    <w:jc w:val="center"/>
                    <w:rPr>
                      <w:sz w:val="20"/>
                      <w:szCs w:val="21"/>
                    </w:rPr>
                  </w:pPr>
                  <w:r>
                    <w:rPr>
                      <w:rFonts w:eastAsia="等线"/>
                      <w:sz w:val="21"/>
                      <w:szCs w:val="21"/>
                    </w:rPr>
                    <w:t>0.01ND</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石油类</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0.01ND</w:t>
                  </w:r>
                </w:p>
              </w:tc>
              <w:tc>
                <w:tcPr>
                  <w:tcW w:w="1146" w:type="dxa"/>
                  <w:vAlign w:val="center"/>
                </w:tcPr>
                <w:p>
                  <w:pPr>
                    <w:pStyle w:val="61"/>
                    <w:jc w:val="center"/>
                    <w:rPr>
                      <w:sz w:val="20"/>
                      <w:szCs w:val="21"/>
                    </w:rPr>
                  </w:pPr>
                  <w:r>
                    <w:rPr>
                      <w:rFonts w:eastAsia="等线"/>
                      <w:sz w:val="21"/>
                      <w:szCs w:val="21"/>
                    </w:rPr>
                    <w:t>0.01ND</w:t>
                  </w:r>
                </w:p>
              </w:tc>
              <w:tc>
                <w:tcPr>
                  <w:tcW w:w="843" w:type="dxa"/>
                  <w:vMerge w:val="restart"/>
                  <w:vAlign w:val="center"/>
                </w:tcPr>
                <w:p>
                  <w:pPr>
                    <w:pStyle w:val="61"/>
                    <w:jc w:val="center"/>
                    <w:rPr>
                      <w:sz w:val="20"/>
                      <w:szCs w:val="21"/>
                    </w:rPr>
                  </w:pPr>
                  <w:r>
                    <w:rPr>
                      <w:rFonts w:hint="eastAsia"/>
                      <w:sz w:val="20"/>
                      <w:szCs w:val="21"/>
                    </w:rPr>
                    <w:t>0</w:t>
                  </w:r>
                  <w:r>
                    <w:rPr>
                      <w:sz w:val="20"/>
                      <w:szCs w:val="21"/>
                    </w:rPr>
                    <w:t>.05</w:t>
                  </w: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0.01ND</w:t>
                  </w:r>
                </w:p>
              </w:tc>
              <w:tc>
                <w:tcPr>
                  <w:tcW w:w="1146" w:type="dxa"/>
                  <w:vAlign w:val="center"/>
                </w:tcPr>
                <w:p>
                  <w:pPr>
                    <w:pStyle w:val="61"/>
                    <w:jc w:val="center"/>
                    <w:rPr>
                      <w:sz w:val="20"/>
                      <w:szCs w:val="21"/>
                    </w:rPr>
                  </w:pPr>
                  <w:r>
                    <w:rPr>
                      <w:rFonts w:eastAsia="等线"/>
                      <w:sz w:val="21"/>
                      <w:szCs w:val="21"/>
                    </w:rPr>
                    <w:t>0.01ND</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restart"/>
                  <w:vAlign w:val="center"/>
                </w:tcPr>
                <w:p>
                  <w:pPr>
                    <w:pStyle w:val="61"/>
                    <w:jc w:val="center"/>
                    <w:rPr>
                      <w:sz w:val="20"/>
                      <w:szCs w:val="21"/>
                    </w:rPr>
                  </w:pPr>
                  <w:r>
                    <w:rPr>
                      <w:rFonts w:hint="eastAsia"/>
                      <w:sz w:val="20"/>
                      <w:szCs w:val="21"/>
                    </w:rPr>
                    <w:t>悬浮物</w:t>
                  </w:r>
                </w:p>
              </w:tc>
              <w:tc>
                <w:tcPr>
                  <w:tcW w:w="992" w:type="dxa"/>
                  <w:vAlign w:val="center"/>
                </w:tcPr>
                <w:p>
                  <w:pPr>
                    <w:pStyle w:val="61"/>
                    <w:jc w:val="center"/>
                    <w:rPr>
                      <w:sz w:val="20"/>
                      <w:szCs w:val="21"/>
                    </w:rPr>
                  </w:pPr>
                  <w:r>
                    <w:rPr>
                      <w:rFonts w:hint="eastAsia"/>
                      <w:sz w:val="20"/>
                      <w:szCs w:val="21"/>
                    </w:rPr>
                    <w:t>第一次</w:t>
                  </w:r>
                </w:p>
              </w:tc>
              <w:tc>
                <w:tcPr>
                  <w:tcW w:w="992" w:type="dxa"/>
                  <w:vAlign w:val="center"/>
                </w:tcPr>
                <w:p>
                  <w:pPr>
                    <w:pStyle w:val="61"/>
                    <w:jc w:val="center"/>
                    <w:rPr>
                      <w:sz w:val="20"/>
                      <w:szCs w:val="21"/>
                    </w:rPr>
                  </w:pPr>
                  <w:r>
                    <w:rPr>
                      <w:rFonts w:eastAsia="等线"/>
                      <w:sz w:val="21"/>
                      <w:szCs w:val="21"/>
                    </w:rPr>
                    <w:t>17</w:t>
                  </w:r>
                </w:p>
              </w:tc>
              <w:tc>
                <w:tcPr>
                  <w:tcW w:w="1146" w:type="dxa"/>
                  <w:vAlign w:val="center"/>
                </w:tcPr>
                <w:p>
                  <w:pPr>
                    <w:pStyle w:val="61"/>
                    <w:jc w:val="center"/>
                    <w:rPr>
                      <w:sz w:val="20"/>
                      <w:szCs w:val="21"/>
                    </w:rPr>
                  </w:pPr>
                  <w:r>
                    <w:rPr>
                      <w:rFonts w:eastAsia="等线"/>
                      <w:sz w:val="21"/>
                      <w:szCs w:val="21"/>
                    </w:rPr>
                    <w:t>16</w:t>
                  </w:r>
                </w:p>
              </w:tc>
              <w:tc>
                <w:tcPr>
                  <w:tcW w:w="843" w:type="dxa"/>
                  <w:vMerge w:val="restart"/>
                  <w:vAlign w:val="center"/>
                </w:tcPr>
                <w:p>
                  <w:pPr>
                    <w:pStyle w:val="61"/>
                    <w:jc w:val="center"/>
                    <w:rPr>
                      <w:sz w:val="20"/>
                      <w:szCs w:val="21"/>
                    </w:rPr>
                  </w:pPr>
                  <w:r>
                    <w:rPr>
                      <w:rFonts w:hint="eastAsia"/>
                      <w:sz w:val="20"/>
                      <w:szCs w:val="21"/>
                    </w:rPr>
                    <w:t>/</w:t>
                  </w:r>
                </w:p>
              </w:tc>
              <w:tc>
                <w:tcPr>
                  <w:tcW w:w="1061" w:type="dxa"/>
                </w:tcPr>
                <w:p>
                  <w:pPr>
                    <w:pStyle w:val="61"/>
                    <w:jc w:val="center"/>
                    <w:rPr>
                      <w:sz w:val="20"/>
                      <w:szCs w:val="21"/>
                    </w:rPr>
                  </w:pPr>
                  <w:r>
                    <w:rPr>
                      <w:rFonts w:hint="eastAsia"/>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vAlign w:val="center"/>
                </w:tcPr>
                <w:p>
                  <w:pPr>
                    <w:pStyle w:val="61"/>
                    <w:jc w:val="center"/>
                    <w:rPr>
                      <w:sz w:val="20"/>
                      <w:szCs w:val="21"/>
                    </w:rPr>
                  </w:pPr>
                </w:p>
              </w:tc>
              <w:tc>
                <w:tcPr>
                  <w:tcW w:w="1329" w:type="dxa"/>
                  <w:vMerge w:val="continue"/>
                  <w:vAlign w:val="center"/>
                </w:tcPr>
                <w:p>
                  <w:pPr>
                    <w:pStyle w:val="61"/>
                    <w:jc w:val="center"/>
                    <w:rPr>
                      <w:sz w:val="20"/>
                      <w:szCs w:val="21"/>
                    </w:rPr>
                  </w:pPr>
                </w:p>
              </w:tc>
              <w:tc>
                <w:tcPr>
                  <w:tcW w:w="992" w:type="dxa"/>
                  <w:vAlign w:val="center"/>
                </w:tcPr>
                <w:p>
                  <w:pPr>
                    <w:pStyle w:val="61"/>
                    <w:jc w:val="center"/>
                    <w:rPr>
                      <w:sz w:val="20"/>
                      <w:szCs w:val="21"/>
                    </w:rPr>
                  </w:pPr>
                  <w:r>
                    <w:rPr>
                      <w:rFonts w:hint="eastAsia"/>
                      <w:sz w:val="20"/>
                      <w:szCs w:val="21"/>
                    </w:rPr>
                    <w:t>第二次</w:t>
                  </w:r>
                </w:p>
              </w:tc>
              <w:tc>
                <w:tcPr>
                  <w:tcW w:w="992" w:type="dxa"/>
                  <w:vAlign w:val="center"/>
                </w:tcPr>
                <w:p>
                  <w:pPr>
                    <w:pStyle w:val="61"/>
                    <w:jc w:val="center"/>
                    <w:rPr>
                      <w:sz w:val="20"/>
                      <w:szCs w:val="21"/>
                    </w:rPr>
                  </w:pPr>
                  <w:r>
                    <w:rPr>
                      <w:rFonts w:eastAsia="等线"/>
                      <w:sz w:val="21"/>
                      <w:szCs w:val="21"/>
                    </w:rPr>
                    <w:t>12</w:t>
                  </w:r>
                </w:p>
              </w:tc>
              <w:tc>
                <w:tcPr>
                  <w:tcW w:w="1146" w:type="dxa"/>
                  <w:vAlign w:val="center"/>
                </w:tcPr>
                <w:p>
                  <w:pPr>
                    <w:pStyle w:val="61"/>
                    <w:jc w:val="center"/>
                    <w:rPr>
                      <w:sz w:val="20"/>
                      <w:szCs w:val="21"/>
                    </w:rPr>
                  </w:pPr>
                  <w:r>
                    <w:rPr>
                      <w:rFonts w:eastAsia="等线"/>
                      <w:sz w:val="21"/>
                      <w:szCs w:val="21"/>
                    </w:rPr>
                    <w:t>17</w:t>
                  </w:r>
                </w:p>
              </w:tc>
              <w:tc>
                <w:tcPr>
                  <w:tcW w:w="843" w:type="dxa"/>
                  <w:vMerge w:val="continue"/>
                  <w:vAlign w:val="center"/>
                </w:tcPr>
                <w:p>
                  <w:pPr>
                    <w:pStyle w:val="61"/>
                    <w:jc w:val="center"/>
                    <w:rPr>
                      <w:sz w:val="20"/>
                      <w:szCs w:val="21"/>
                    </w:rPr>
                  </w:pPr>
                </w:p>
              </w:tc>
              <w:tc>
                <w:tcPr>
                  <w:tcW w:w="1061" w:type="dxa"/>
                </w:tcPr>
                <w:p>
                  <w:pPr>
                    <w:pStyle w:val="61"/>
                    <w:jc w:val="center"/>
                    <w:rPr>
                      <w:sz w:val="20"/>
                      <w:szCs w:val="21"/>
                    </w:rPr>
                  </w:pPr>
                  <w:r>
                    <w:rPr>
                      <w:rFonts w:hint="eastAsia"/>
                      <w:sz w:val="20"/>
                      <w:szCs w:val="21"/>
                    </w:rPr>
                    <w:t>/</w:t>
                  </w:r>
                </w:p>
              </w:tc>
            </w:tr>
          </w:tbl>
          <w:p>
            <w:pPr>
              <w:pStyle w:val="2"/>
              <w:ind w:firstLine="480" w:firstLineChars="200"/>
              <w:rPr>
                <w:rFonts w:ascii="Times New Roman" w:hAnsi="Times New Roman" w:eastAsiaTheme="minorEastAsia" w:cstheme="minorBidi"/>
                <w:b w:val="0"/>
                <w:bCs w:val="0"/>
                <w:szCs w:val="22"/>
              </w:rPr>
            </w:pPr>
            <w:r>
              <w:rPr>
                <w:rFonts w:hint="eastAsia" w:ascii="Times New Roman" w:hAnsi="Times New Roman" w:eastAsiaTheme="minorEastAsia" w:cstheme="minorBidi"/>
                <w:b w:val="0"/>
                <w:bCs w:val="0"/>
                <w:szCs w:val="22"/>
              </w:rPr>
              <w:t>由上表可以看出，项目区域黄洋河各水质监测指标均满足《地表水环境质量标准》（GB3838-2002）中的Ⅱ类标准，地表水水质良好。</w:t>
            </w:r>
          </w:p>
          <w:p>
            <w:pPr>
              <w:rPr>
                <w:b/>
                <w:bCs/>
              </w:rPr>
            </w:pPr>
            <w:r>
              <w:rPr>
                <w:rFonts w:hint="eastAsia"/>
                <w:b/>
                <w:bCs/>
              </w:rPr>
              <w:t>（四）土壤、地下水环境</w:t>
            </w:r>
          </w:p>
          <w:p>
            <w:pPr>
              <w:ind w:firstLine="480" w:firstLineChars="200"/>
              <w:rPr>
                <w:rFonts w:cs="Times New Roman"/>
              </w:rPr>
            </w:pPr>
            <w:r>
              <w:rPr>
                <w:rFonts w:hint="eastAsia"/>
              </w:rPr>
              <w:t>项目所在地中部有少量耕地、北侧为林地，在项目建成后运营期内各项污染物在采取严格的治理措施后可实现稳定达标排放；厂区地面内全部硬化，且拟建的各类池体均采取严格的防渗措施后，可有效杜绝污染物对土壤、地下水环境造成污染。综上，原则上不开展土壤、地下水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79" w:type="pct"/>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环境保护目标</w:t>
            </w:r>
          </w:p>
        </w:tc>
        <w:tc>
          <w:tcPr>
            <w:tcW w:w="4521" w:type="pct"/>
            <w:vAlign w:val="center"/>
          </w:tcPr>
          <w:p>
            <w:pPr>
              <w:pStyle w:val="61"/>
              <w:spacing w:line="360" w:lineRule="auto"/>
              <w:ind w:firstLine="480" w:firstLineChars="200"/>
            </w:pPr>
            <w:r>
              <w:rPr>
                <w:rFonts w:hint="eastAsia"/>
              </w:rPr>
              <w:t>本项目位于安康市平利县莲花台村，根据环境敏感因素的界定原则，经调查，本地区不属于特殊保护区、社会关注区、生态脆弱区和特殊地貌景观区；评价区内也无重点保护文物、古迹、植物、动物及人文景观等。本项目主要保护对象详见下表3-4。</w:t>
            </w:r>
          </w:p>
          <w:p>
            <w:pPr>
              <w:pStyle w:val="61"/>
              <w:jc w:val="center"/>
              <w:rPr>
                <w:b/>
                <w:bCs/>
                <w:sz w:val="20"/>
                <w:szCs w:val="21"/>
              </w:rPr>
            </w:pPr>
            <w:r>
              <w:rPr>
                <w:rFonts w:hint="eastAsia"/>
                <w:b/>
                <w:bCs/>
                <w:sz w:val="20"/>
                <w:szCs w:val="21"/>
              </w:rPr>
              <w:t>表3</w:t>
            </w:r>
            <w:r>
              <w:rPr>
                <w:b/>
                <w:bCs/>
                <w:sz w:val="20"/>
                <w:szCs w:val="21"/>
              </w:rPr>
              <w:t>-</w:t>
            </w:r>
            <w:r>
              <w:rPr>
                <w:rFonts w:hint="eastAsia"/>
                <w:b/>
                <w:bCs/>
                <w:sz w:val="20"/>
                <w:szCs w:val="21"/>
              </w:rPr>
              <w:t>4  主要环境保护目标</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14"/>
              <w:gridCol w:w="1110"/>
              <w:gridCol w:w="643"/>
              <w:gridCol w:w="655"/>
              <w:gridCol w:w="1867"/>
              <w:gridCol w:w="641"/>
              <w:gridCol w:w="6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restart"/>
                  <w:vAlign w:val="center"/>
                </w:tcPr>
                <w:p>
                  <w:pPr>
                    <w:pStyle w:val="61"/>
                    <w:jc w:val="center"/>
                    <w:rPr>
                      <w:sz w:val="21"/>
                      <w:szCs w:val="21"/>
                    </w:rPr>
                  </w:pPr>
                  <w:r>
                    <w:rPr>
                      <w:sz w:val="21"/>
                      <w:szCs w:val="21"/>
                    </w:rPr>
                    <w:t>名称</w:t>
                  </w:r>
                </w:p>
              </w:tc>
              <w:tc>
                <w:tcPr>
                  <w:tcW w:w="1551" w:type="pct"/>
                  <w:gridSpan w:val="2"/>
                  <w:vAlign w:val="center"/>
                </w:tcPr>
                <w:p>
                  <w:pPr>
                    <w:pStyle w:val="61"/>
                    <w:jc w:val="center"/>
                    <w:rPr>
                      <w:sz w:val="21"/>
                      <w:szCs w:val="21"/>
                    </w:rPr>
                  </w:pPr>
                  <w:r>
                    <w:rPr>
                      <w:sz w:val="21"/>
                      <w:szCs w:val="21"/>
                    </w:rPr>
                    <w:t>坐标</w:t>
                  </w:r>
                </w:p>
              </w:tc>
              <w:tc>
                <w:tcPr>
                  <w:tcW w:w="429" w:type="pct"/>
                  <w:vMerge w:val="restart"/>
                  <w:vAlign w:val="center"/>
                </w:tcPr>
                <w:p>
                  <w:pPr>
                    <w:pStyle w:val="61"/>
                    <w:jc w:val="center"/>
                    <w:rPr>
                      <w:sz w:val="21"/>
                      <w:szCs w:val="21"/>
                    </w:rPr>
                  </w:pPr>
                  <w:r>
                    <w:rPr>
                      <w:sz w:val="21"/>
                      <w:szCs w:val="21"/>
                    </w:rPr>
                    <w:t>环境保护对象</w:t>
                  </w:r>
                </w:p>
              </w:tc>
              <w:tc>
                <w:tcPr>
                  <w:tcW w:w="437" w:type="pct"/>
                  <w:vMerge w:val="restart"/>
                  <w:vAlign w:val="center"/>
                </w:tcPr>
                <w:p>
                  <w:pPr>
                    <w:pStyle w:val="61"/>
                    <w:jc w:val="center"/>
                    <w:rPr>
                      <w:sz w:val="21"/>
                      <w:szCs w:val="21"/>
                    </w:rPr>
                  </w:pPr>
                  <w:r>
                    <w:rPr>
                      <w:sz w:val="21"/>
                      <w:szCs w:val="21"/>
                    </w:rPr>
                    <w:t>保护内容</w:t>
                  </w:r>
                </w:p>
              </w:tc>
              <w:tc>
                <w:tcPr>
                  <w:tcW w:w="1246" w:type="pct"/>
                  <w:vMerge w:val="restart"/>
                  <w:vAlign w:val="center"/>
                </w:tcPr>
                <w:p>
                  <w:pPr>
                    <w:pStyle w:val="61"/>
                    <w:jc w:val="center"/>
                    <w:rPr>
                      <w:sz w:val="21"/>
                      <w:szCs w:val="21"/>
                    </w:rPr>
                  </w:pPr>
                  <w:r>
                    <w:rPr>
                      <w:sz w:val="21"/>
                      <w:szCs w:val="21"/>
                    </w:rPr>
                    <w:t>环境功能区</w:t>
                  </w:r>
                </w:p>
              </w:tc>
              <w:tc>
                <w:tcPr>
                  <w:tcW w:w="428" w:type="pct"/>
                  <w:vMerge w:val="restart"/>
                  <w:vAlign w:val="center"/>
                </w:tcPr>
                <w:p>
                  <w:pPr>
                    <w:pStyle w:val="61"/>
                    <w:jc w:val="center"/>
                    <w:rPr>
                      <w:sz w:val="21"/>
                      <w:szCs w:val="21"/>
                    </w:rPr>
                  </w:pPr>
                  <w:r>
                    <w:rPr>
                      <w:sz w:val="21"/>
                      <w:szCs w:val="21"/>
                    </w:rPr>
                    <w:t>相对厂址方位</w:t>
                  </w:r>
                </w:p>
              </w:tc>
              <w:tc>
                <w:tcPr>
                  <w:tcW w:w="458" w:type="pct"/>
                  <w:vMerge w:val="restart"/>
                  <w:vAlign w:val="center"/>
                </w:tcPr>
                <w:p>
                  <w:pPr>
                    <w:pStyle w:val="61"/>
                    <w:jc w:val="center"/>
                    <w:rPr>
                      <w:sz w:val="21"/>
                      <w:szCs w:val="21"/>
                    </w:rPr>
                  </w:pPr>
                  <w:r>
                    <w:rPr>
                      <w:sz w:val="21"/>
                      <w:szCs w:val="21"/>
                    </w:rPr>
                    <w:t>相对厂界距离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vAlign w:val="center"/>
                </w:tcPr>
                <w:p>
                  <w:pPr>
                    <w:pStyle w:val="61"/>
                    <w:jc w:val="center"/>
                    <w:rPr>
                      <w:sz w:val="21"/>
                      <w:szCs w:val="21"/>
                    </w:rPr>
                  </w:pPr>
                </w:p>
              </w:tc>
              <w:tc>
                <w:tcPr>
                  <w:tcW w:w="810" w:type="pct"/>
                  <w:vAlign w:val="center"/>
                </w:tcPr>
                <w:p>
                  <w:pPr>
                    <w:pStyle w:val="61"/>
                    <w:jc w:val="center"/>
                    <w:rPr>
                      <w:sz w:val="21"/>
                      <w:szCs w:val="21"/>
                    </w:rPr>
                  </w:pPr>
                  <w:r>
                    <w:rPr>
                      <w:rFonts w:hint="eastAsia"/>
                      <w:sz w:val="21"/>
                      <w:szCs w:val="21"/>
                    </w:rPr>
                    <w:t>经度（°）</w:t>
                  </w:r>
                </w:p>
              </w:tc>
              <w:tc>
                <w:tcPr>
                  <w:tcW w:w="741" w:type="pct"/>
                  <w:vAlign w:val="center"/>
                </w:tcPr>
                <w:p>
                  <w:pPr>
                    <w:pStyle w:val="61"/>
                    <w:jc w:val="center"/>
                    <w:rPr>
                      <w:sz w:val="21"/>
                      <w:szCs w:val="21"/>
                    </w:rPr>
                  </w:pPr>
                  <w:r>
                    <w:rPr>
                      <w:sz w:val="21"/>
                      <w:szCs w:val="21"/>
                    </w:rPr>
                    <w:t>纬度</w:t>
                  </w:r>
                  <w:r>
                    <w:rPr>
                      <w:rFonts w:hint="eastAsia"/>
                      <w:sz w:val="21"/>
                      <w:szCs w:val="21"/>
                    </w:rPr>
                    <w:t>（°）</w:t>
                  </w:r>
                </w:p>
              </w:tc>
              <w:tc>
                <w:tcPr>
                  <w:tcW w:w="429" w:type="pct"/>
                  <w:vMerge w:val="continue"/>
                  <w:vAlign w:val="center"/>
                </w:tcPr>
                <w:p>
                  <w:pPr>
                    <w:pStyle w:val="61"/>
                    <w:jc w:val="center"/>
                    <w:rPr>
                      <w:sz w:val="21"/>
                      <w:szCs w:val="21"/>
                    </w:rPr>
                  </w:pPr>
                </w:p>
              </w:tc>
              <w:tc>
                <w:tcPr>
                  <w:tcW w:w="437" w:type="pct"/>
                  <w:vMerge w:val="continue"/>
                  <w:vAlign w:val="center"/>
                </w:tcPr>
                <w:p>
                  <w:pPr>
                    <w:pStyle w:val="61"/>
                    <w:jc w:val="center"/>
                    <w:rPr>
                      <w:sz w:val="21"/>
                      <w:szCs w:val="21"/>
                    </w:rPr>
                  </w:pPr>
                </w:p>
              </w:tc>
              <w:tc>
                <w:tcPr>
                  <w:tcW w:w="1246" w:type="pct"/>
                  <w:vMerge w:val="continue"/>
                  <w:vAlign w:val="center"/>
                </w:tcPr>
                <w:p>
                  <w:pPr>
                    <w:pStyle w:val="61"/>
                    <w:jc w:val="center"/>
                    <w:rPr>
                      <w:sz w:val="21"/>
                      <w:szCs w:val="21"/>
                    </w:rPr>
                  </w:pPr>
                </w:p>
              </w:tc>
              <w:tc>
                <w:tcPr>
                  <w:tcW w:w="428" w:type="pct"/>
                  <w:vMerge w:val="continue"/>
                  <w:vAlign w:val="center"/>
                </w:tcPr>
                <w:p>
                  <w:pPr>
                    <w:pStyle w:val="61"/>
                    <w:jc w:val="center"/>
                    <w:rPr>
                      <w:sz w:val="21"/>
                      <w:szCs w:val="21"/>
                    </w:rPr>
                  </w:pPr>
                </w:p>
              </w:tc>
              <w:tc>
                <w:tcPr>
                  <w:tcW w:w="458" w:type="pct"/>
                  <w:vMerge w:val="continue"/>
                  <w:vAlign w:val="center"/>
                </w:tcPr>
                <w:p>
                  <w:pPr>
                    <w:pStyle w:val="61"/>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50" w:type="pct"/>
                  <w:vAlign w:val="center"/>
                </w:tcPr>
                <w:p>
                  <w:pPr>
                    <w:adjustRightInd w:val="0"/>
                    <w:snapToGrid w:val="0"/>
                    <w:spacing w:line="240" w:lineRule="auto"/>
                    <w:jc w:val="center"/>
                    <w:rPr>
                      <w:sz w:val="21"/>
                      <w:szCs w:val="21"/>
                    </w:rPr>
                  </w:pPr>
                  <w:r>
                    <w:rPr>
                      <w:rFonts w:hint="eastAsia"/>
                      <w:sz w:val="21"/>
                      <w:szCs w:val="21"/>
                    </w:rPr>
                    <w:t>莲花台村</w:t>
                  </w:r>
                </w:p>
              </w:tc>
              <w:tc>
                <w:tcPr>
                  <w:tcW w:w="810" w:type="pct"/>
                  <w:vAlign w:val="center"/>
                </w:tcPr>
                <w:p>
                  <w:pPr>
                    <w:adjustRightInd w:val="0"/>
                    <w:snapToGrid w:val="0"/>
                    <w:spacing w:line="240" w:lineRule="auto"/>
                    <w:jc w:val="center"/>
                    <w:rPr>
                      <w:sz w:val="21"/>
                      <w:szCs w:val="21"/>
                    </w:rPr>
                  </w:pPr>
                  <w:r>
                    <w:rPr>
                      <w:sz w:val="21"/>
                      <w:szCs w:val="21"/>
                    </w:rPr>
                    <w:t>109.154529</w:t>
                  </w:r>
                </w:p>
              </w:tc>
              <w:tc>
                <w:tcPr>
                  <w:tcW w:w="741" w:type="pct"/>
                  <w:vAlign w:val="center"/>
                </w:tcPr>
                <w:p>
                  <w:pPr>
                    <w:adjustRightInd w:val="0"/>
                    <w:snapToGrid w:val="0"/>
                    <w:spacing w:line="240" w:lineRule="auto"/>
                    <w:jc w:val="center"/>
                    <w:rPr>
                      <w:sz w:val="21"/>
                      <w:szCs w:val="21"/>
                    </w:rPr>
                  </w:pPr>
                  <w:r>
                    <w:rPr>
                      <w:sz w:val="21"/>
                      <w:szCs w:val="21"/>
                    </w:rPr>
                    <w:t>32.343644</w:t>
                  </w:r>
                </w:p>
              </w:tc>
              <w:tc>
                <w:tcPr>
                  <w:tcW w:w="429" w:type="pct"/>
                  <w:vMerge w:val="restart"/>
                  <w:vAlign w:val="center"/>
                </w:tcPr>
                <w:p>
                  <w:pPr>
                    <w:adjustRightInd w:val="0"/>
                    <w:snapToGrid w:val="0"/>
                    <w:spacing w:line="240" w:lineRule="auto"/>
                    <w:jc w:val="center"/>
                    <w:rPr>
                      <w:sz w:val="21"/>
                      <w:szCs w:val="21"/>
                    </w:rPr>
                  </w:pPr>
                  <w:r>
                    <w:rPr>
                      <w:rFonts w:hint="eastAsia"/>
                      <w:sz w:val="21"/>
                      <w:szCs w:val="21"/>
                    </w:rPr>
                    <w:t>居民</w:t>
                  </w:r>
                </w:p>
              </w:tc>
              <w:tc>
                <w:tcPr>
                  <w:tcW w:w="437" w:type="pct"/>
                  <w:vMerge w:val="restart"/>
                  <w:vAlign w:val="center"/>
                </w:tcPr>
                <w:p>
                  <w:pPr>
                    <w:adjustRightInd w:val="0"/>
                    <w:snapToGrid w:val="0"/>
                    <w:spacing w:line="240" w:lineRule="auto"/>
                    <w:jc w:val="center"/>
                    <w:rPr>
                      <w:sz w:val="21"/>
                      <w:szCs w:val="21"/>
                    </w:rPr>
                  </w:pPr>
                  <w:r>
                    <w:rPr>
                      <w:rFonts w:hint="eastAsia"/>
                      <w:sz w:val="21"/>
                      <w:szCs w:val="21"/>
                    </w:rPr>
                    <w:t>环境空气</w:t>
                  </w:r>
                </w:p>
              </w:tc>
              <w:tc>
                <w:tcPr>
                  <w:tcW w:w="1246" w:type="pct"/>
                  <w:vMerge w:val="restart"/>
                  <w:vAlign w:val="center"/>
                </w:tcPr>
                <w:p>
                  <w:pPr>
                    <w:adjustRightInd w:val="0"/>
                    <w:snapToGrid w:val="0"/>
                    <w:spacing w:line="240" w:lineRule="auto"/>
                    <w:jc w:val="center"/>
                    <w:rPr>
                      <w:sz w:val="21"/>
                      <w:szCs w:val="21"/>
                    </w:rPr>
                  </w:pPr>
                  <w:r>
                    <w:rPr>
                      <w:rFonts w:hint="eastAsia"/>
                      <w:sz w:val="21"/>
                      <w:szCs w:val="21"/>
                    </w:rPr>
                    <w:t>《环境空气质量标准》（GB3095-2012）二级标准</w:t>
                  </w:r>
                </w:p>
              </w:tc>
              <w:tc>
                <w:tcPr>
                  <w:tcW w:w="428" w:type="pct"/>
                  <w:vAlign w:val="center"/>
                </w:tcPr>
                <w:p>
                  <w:pPr>
                    <w:adjustRightInd w:val="0"/>
                    <w:snapToGrid w:val="0"/>
                    <w:spacing w:line="240" w:lineRule="auto"/>
                    <w:jc w:val="center"/>
                    <w:rPr>
                      <w:sz w:val="21"/>
                      <w:szCs w:val="21"/>
                    </w:rPr>
                  </w:pPr>
                  <w:r>
                    <w:rPr>
                      <w:rFonts w:hint="eastAsia"/>
                      <w:sz w:val="21"/>
                      <w:szCs w:val="21"/>
                    </w:rPr>
                    <w:t>S</w:t>
                  </w:r>
                </w:p>
              </w:tc>
              <w:tc>
                <w:tcPr>
                  <w:tcW w:w="458" w:type="pct"/>
                  <w:vAlign w:val="center"/>
                </w:tcPr>
                <w:p>
                  <w:pPr>
                    <w:adjustRightInd w:val="0"/>
                    <w:snapToGrid w:val="0"/>
                    <w:spacing w:line="240" w:lineRule="auto"/>
                    <w:jc w:val="center"/>
                    <w:rPr>
                      <w:sz w:val="21"/>
                      <w:szCs w:val="21"/>
                    </w:rPr>
                  </w:pPr>
                  <w:r>
                    <w:rPr>
                      <w:rFonts w:hint="eastAsia"/>
                      <w:sz w:val="21"/>
                      <w:szCs w:val="21"/>
                    </w:rPr>
                    <w:t>390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50" w:type="pct"/>
                  <w:vAlign w:val="center"/>
                </w:tcPr>
                <w:p>
                  <w:pPr>
                    <w:adjustRightInd w:val="0"/>
                    <w:snapToGrid w:val="0"/>
                    <w:spacing w:line="240" w:lineRule="auto"/>
                    <w:jc w:val="center"/>
                    <w:rPr>
                      <w:sz w:val="21"/>
                      <w:szCs w:val="21"/>
                    </w:rPr>
                  </w:pPr>
                  <w:r>
                    <w:rPr>
                      <w:rFonts w:hint="eastAsia"/>
                      <w:sz w:val="21"/>
                      <w:szCs w:val="21"/>
                    </w:rPr>
                    <w:t>莲花台村散户</w:t>
                  </w:r>
                </w:p>
              </w:tc>
              <w:tc>
                <w:tcPr>
                  <w:tcW w:w="810" w:type="pct"/>
                  <w:vAlign w:val="center"/>
                </w:tcPr>
                <w:p>
                  <w:pPr>
                    <w:adjustRightInd w:val="0"/>
                    <w:snapToGrid w:val="0"/>
                    <w:spacing w:line="240" w:lineRule="auto"/>
                    <w:jc w:val="center"/>
                    <w:rPr>
                      <w:sz w:val="21"/>
                      <w:szCs w:val="21"/>
                    </w:rPr>
                  </w:pPr>
                  <w:r>
                    <w:rPr>
                      <w:rFonts w:hint="eastAsia"/>
                      <w:sz w:val="21"/>
                      <w:szCs w:val="21"/>
                    </w:rPr>
                    <w:t>109.156639</w:t>
                  </w:r>
                </w:p>
              </w:tc>
              <w:tc>
                <w:tcPr>
                  <w:tcW w:w="741" w:type="pct"/>
                  <w:vAlign w:val="center"/>
                </w:tcPr>
                <w:p>
                  <w:pPr>
                    <w:adjustRightInd w:val="0"/>
                    <w:snapToGrid w:val="0"/>
                    <w:spacing w:line="240" w:lineRule="auto"/>
                    <w:jc w:val="center"/>
                    <w:rPr>
                      <w:sz w:val="21"/>
                      <w:szCs w:val="21"/>
                    </w:rPr>
                  </w:pPr>
                  <w:r>
                    <w:rPr>
                      <w:rFonts w:hint="eastAsia"/>
                      <w:sz w:val="21"/>
                      <w:szCs w:val="21"/>
                    </w:rPr>
                    <w:t>32.353362</w:t>
                  </w:r>
                </w:p>
              </w:tc>
              <w:tc>
                <w:tcPr>
                  <w:tcW w:w="429" w:type="pct"/>
                  <w:vMerge w:val="continue"/>
                  <w:vAlign w:val="center"/>
                </w:tcPr>
                <w:p>
                  <w:pPr>
                    <w:adjustRightInd w:val="0"/>
                    <w:snapToGrid w:val="0"/>
                    <w:spacing w:line="240" w:lineRule="auto"/>
                    <w:jc w:val="center"/>
                    <w:rPr>
                      <w:sz w:val="21"/>
                      <w:szCs w:val="21"/>
                    </w:rPr>
                  </w:pPr>
                </w:p>
              </w:tc>
              <w:tc>
                <w:tcPr>
                  <w:tcW w:w="437" w:type="pct"/>
                  <w:vMerge w:val="continue"/>
                  <w:vAlign w:val="center"/>
                </w:tcPr>
                <w:p>
                  <w:pPr>
                    <w:adjustRightInd w:val="0"/>
                    <w:snapToGrid w:val="0"/>
                    <w:spacing w:line="240" w:lineRule="auto"/>
                    <w:jc w:val="center"/>
                    <w:rPr>
                      <w:sz w:val="21"/>
                      <w:szCs w:val="21"/>
                    </w:rPr>
                  </w:pPr>
                </w:p>
              </w:tc>
              <w:tc>
                <w:tcPr>
                  <w:tcW w:w="1246" w:type="pct"/>
                  <w:vMerge w:val="continue"/>
                  <w:vAlign w:val="center"/>
                </w:tcPr>
                <w:p>
                  <w:pPr>
                    <w:adjustRightInd w:val="0"/>
                    <w:snapToGrid w:val="0"/>
                    <w:spacing w:line="240" w:lineRule="auto"/>
                    <w:jc w:val="center"/>
                    <w:rPr>
                      <w:sz w:val="21"/>
                      <w:szCs w:val="21"/>
                    </w:rPr>
                  </w:pPr>
                </w:p>
              </w:tc>
              <w:tc>
                <w:tcPr>
                  <w:tcW w:w="428" w:type="pct"/>
                  <w:vAlign w:val="center"/>
                </w:tcPr>
                <w:p>
                  <w:pPr>
                    <w:adjustRightInd w:val="0"/>
                    <w:snapToGrid w:val="0"/>
                    <w:spacing w:line="240" w:lineRule="auto"/>
                    <w:jc w:val="center"/>
                    <w:rPr>
                      <w:sz w:val="21"/>
                      <w:szCs w:val="21"/>
                    </w:rPr>
                  </w:pPr>
                  <w:r>
                    <w:rPr>
                      <w:rFonts w:hint="eastAsia"/>
                      <w:sz w:val="21"/>
                      <w:szCs w:val="21"/>
                    </w:rPr>
                    <w:t>N</w:t>
                  </w:r>
                </w:p>
              </w:tc>
              <w:tc>
                <w:tcPr>
                  <w:tcW w:w="458" w:type="pct"/>
                  <w:vAlign w:val="center"/>
                </w:tcPr>
                <w:p>
                  <w:pPr>
                    <w:adjustRightInd w:val="0"/>
                    <w:snapToGrid w:val="0"/>
                    <w:spacing w:line="240" w:lineRule="auto"/>
                    <w:jc w:val="center"/>
                    <w:rPr>
                      <w:sz w:val="21"/>
                      <w:szCs w:val="21"/>
                    </w:rPr>
                  </w:pPr>
                  <w:r>
                    <w:rPr>
                      <w:rFonts w:hint="eastAsia"/>
                      <w:sz w:val="21"/>
                      <w:szCs w:val="21"/>
                    </w:rPr>
                    <w:t>115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50" w:type="pct"/>
                  <w:vAlign w:val="center"/>
                </w:tcPr>
                <w:p>
                  <w:pPr>
                    <w:adjustRightInd w:val="0"/>
                    <w:snapToGrid w:val="0"/>
                    <w:spacing w:line="240" w:lineRule="auto"/>
                    <w:jc w:val="center"/>
                    <w:rPr>
                      <w:sz w:val="21"/>
                      <w:szCs w:val="21"/>
                    </w:rPr>
                  </w:pPr>
                  <w:r>
                    <w:rPr>
                      <w:rFonts w:hint="eastAsia"/>
                      <w:sz w:val="21"/>
                      <w:szCs w:val="21"/>
                    </w:rPr>
                    <w:t>安坝</w:t>
                  </w:r>
                </w:p>
              </w:tc>
              <w:tc>
                <w:tcPr>
                  <w:tcW w:w="810" w:type="pct"/>
                  <w:vAlign w:val="center"/>
                </w:tcPr>
                <w:p>
                  <w:pPr>
                    <w:adjustRightInd w:val="0"/>
                    <w:snapToGrid w:val="0"/>
                    <w:spacing w:line="240" w:lineRule="auto"/>
                    <w:jc w:val="center"/>
                    <w:rPr>
                      <w:sz w:val="21"/>
                      <w:szCs w:val="21"/>
                    </w:rPr>
                  </w:pPr>
                  <w:r>
                    <w:rPr>
                      <w:sz w:val="21"/>
                      <w:szCs w:val="21"/>
                    </w:rPr>
                    <w:t>109.152040</w:t>
                  </w:r>
                </w:p>
              </w:tc>
              <w:tc>
                <w:tcPr>
                  <w:tcW w:w="741" w:type="pct"/>
                  <w:vAlign w:val="center"/>
                </w:tcPr>
                <w:p>
                  <w:pPr>
                    <w:adjustRightInd w:val="0"/>
                    <w:snapToGrid w:val="0"/>
                    <w:spacing w:line="240" w:lineRule="auto"/>
                    <w:jc w:val="center"/>
                    <w:rPr>
                      <w:sz w:val="21"/>
                      <w:szCs w:val="21"/>
                    </w:rPr>
                  </w:pPr>
                  <w:r>
                    <w:rPr>
                      <w:sz w:val="21"/>
                      <w:szCs w:val="21"/>
                    </w:rPr>
                    <w:t>32.349118</w:t>
                  </w:r>
                </w:p>
              </w:tc>
              <w:tc>
                <w:tcPr>
                  <w:tcW w:w="429" w:type="pct"/>
                  <w:vMerge w:val="continue"/>
                  <w:vAlign w:val="center"/>
                </w:tcPr>
                <w:p>
                  <w:pPr>
                    <w:adjustRightInd w:val="0"/>
                    <w:snapToGrid w:val="0"/>
                    <w:spacing w:line="240" w:lineRule="auto"/>
                    <w:jc w:val="center"/>
                    <w:rPr>
                      <w:sz w:val="21"/>
                      <w:szCs w:val="21"/>
                    </w:rPr>
                  </w:pPr>
                </w:p>
              </w:tc>
              <w:tc>
                <w:tcPr>
                  <w:tcW w:w="437" w:type="pct"/>
                  <w:vMerge w:val="continue"/>
                  <w:vAlign w:val="center"/>
                </w:tcPr>
                <w:p>
                  <w:pPr>
                    <w:adjustRightInd w:val="0"/>
                    <w:snapToGrid w:val="0"/>
                    <w:spacing w:line="240" w:lineRule="auto"/>
                    <w:jc w:val="center"/>
                    <w:rPr>
                      <w:sz w:val="21"/>
                      <w:szCs w:val="21"/>
                    </w:rPr>
                  </w:pPr>
                </w:p>
              </w:tc>
              <w:tc>
                <w:tcPr>
                  <w:tcW w:w="1246" w:type="pct"/>
                  <w:vMerge w:val="continue"/>
                  <w:vAlign w:val="center"/>
                </w:tcPr>
                <w:p>
                  <w:pPr>
                    <w:adjustRightInd w:val="0"/>
                    <w:snapToGrid w:val="0"/>
                    <w:spacing w:line="240" w:lineRule="auto"/>
                    <w:jc w:val="center"/>
                    <w:rPr>
                      <w:sz w:val="21"/>
                      <w:szCs w:val="21"/>
                    </w:rPr>
                  </w:pPr>
                </w:p>
              </w:tc>
              <w:tc>
                <w:tcPr>
                  <w:tcW w:w="428" w:type="pct"/>
                  <w:vAlign w:val="center"/>
                </w:tcPr>
                <w:p>
                  <w:pPr>
                    <w:adjustRightInd w:val="0"/>
                    <w:snapToGrid w:val="0"/>
                    <w:spacing w:line="240" w:lineRule="auto"/>
                    <w:jc w:val="center"/>
                    <w:rPr>
                      <w:sz w:val="21"/>
                      <w:szCs w:val="21"/>
                    </w:rPr>
                  </w:pPr>
                  <w:r>
                    <w:rPr>
                      <w:rFonts w:hint="eastAsia"/>
                      <w:sz w:val="21"/>
                      <w:szCs w:val="21"/>
                    </w:rPr>
                    <w:t>SW</w:t>
                  </w:r>
                </w:p>
              </w:tc>
              <w:tc>
                <w:tcPr>
                  <w:tcW w:w="458" w:type="pct"/>
                  <w:vAlign w:val="center"/>
                </w:tcPr>
                <w:p>
                  <w:pPr>
                    <w:adjustRightInd w:val="0"/>
                    <w:snapToGrid w:val="0"/>
                    <w:spacing w:line="240" w:lineRule="auto"/>
                    <w:jc w:val="center"/>
                    <w:rPr>
                      <w:sz w:val="21"/>
                      <w:szCs w:val="21"/>
                    </w:rPr>
                  </w:pPr>
                  <w:r>
                    <w:rPr>
                      <w:rFonts w:hint="eastAsia"/>
                      <w:sz w:val="21"/>
                      <w:szCs w:val="21"/>
                    </w:rPr>
                    <w:t>235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Align w:val="center"/>
                </w:tcPr>
                <w:p>
                  <w:pPr>
                    <w:adjustRightInd w:val="0"/>
                    <w:snapToGrid w:val="0"/>
                    <w:spacing w:line="240" w:lineRule="auto"/>
                    <w:jc w:val="center"/>
                    <w:rPr>
                      <w:sz w:val="21"/>
                      <w:szCs w:val="21"/>
                    </w:rPr>
                  </w:pPr>
                  <w:r>
                    <w:rPr>
                      <w:rFonts w:hint="eastAsia"/>
                      <w:sz w:val="21"/>
                      <w:szCs w:val="21"/>
                    </w:rPr>
                    <w:t>黑西沟口</w:t>
                  </w:r>
                </w:p>
              </w:tc>
              <w:tc>
                <w:tcPr>
                  <w:tcW w:w="810" w:type="pct"/>
                  <w:vAlign w:val="center"/>
                </w:tcPr>
                <w:p>
                  <w:pPr>
                    <w:adjustRightInd w:val="0"/>
                    <w:snapToGrid w:val="0"/>
                    <w:spacing w:line="240" w:lineRule="auto"/>
                    <w:jc w:val="center"/>
                    <w:rPr>
                      <w:sz w:val="21"/>
                      <w:szCs w:val="21"/>
                    </w:rPr>
                  </w:pPr>
                  <w:r>
                    <w:rPr>
                      <w:sz w:val="21"/>
                      <w:szCs w:val="21"/>
                    </w:rPr>
                    <w:t>109.160765</w:t>
                  </w:r>
                </w:p>
              </w:tc>
              <w:tc>
                <w:tcPr>
                  <w:tcW w:w="741" w:type="pct"/>
                  <w:vAlign w:val="center"/>
                </w:tcPr>
                <w:p>
                  <w:pPr>
                    <w:adjustRightInd w:val="0"/>
                    <w:snapToGrid w:val="0"/>
                    <w:spacing w:line="240" w:lineRule="auto"/>
                    <w:jc w:val="center"/>
                    <w:rPr>
                      <w:sz w:val="21"/>
                      <w:szCs w:val="21"/>
                    </w:rPr>
                  </w:pPr>
                  <w:r>
                    <w:rPr>
                      <w:sz w:val="21"/>
                      <w:szCs w:val="21"/>
                    </w:rPr>
                    <w:t>32.352986</w:t>
                  </w:r>
                </w:p>
              </w:tc>
              <w:tc>
                <w:tcPr>
                  <w:tcW w:w="429" w:type="pct"/>
                  <w:vMerge w:val="continue"/>
                  <w:vAlign w:val="center"/>
                </w:tcPr>
                <w:p>
                  <w:pPr>
                    <w:adjustRightInd w:val="0"/>
                    <w:snapToGrid w:val="0"/>
                    <w:spacing w:line="240" w:lineRule="auto"/>
                    <w:jc w:val="center"/>
                    <w:rPr>
                      <w:sz w:val="21"/>
                      <w:szCs w:val="21"/>
                    </w:rPr>
                  </w:pPr>
                </w:p>
              </w:tc>
              <w:tc>
                <w:tcPr>
                  <w:tcW w:w="437" w:type="pct"/>
                  <w:vMerge w:val="continue"/>
                  <w:vAlign w:val="center"/>
                </w:tcPr>
                <w:p>
                  <w:pPr>
                    <w:adjustRightInd w:val="0"/>
                    <w:snapToGrid w:val="0"/>
                    <w:spacing w:line="240" w:lineRule="auto"/>
                    <w:jc w:val="center"/>
                    <w:rPr>
                      <w:sz w:val="21"/>
                      <w:szCs w:val="21"/>
                    </w:rPr>
                  </w:pPr>
                </w:p>
              </w:tc>
              <w:tc>
                <w:tcPr>
                  <w:tcW w:w="1246" w:type="pct"/>
                  <w:vMerge w:val="continue"/>
                  <w:vAlign w:val="center"/>
                </w:tcPr>
                <w:p>
                  <w:pPr>
                    <w:adjustRightInd w:val="0"/>
                    <w:snapToGrid w:val="0"/>
                    <w:spacing w:line="240" w:lineRule="auto"/>
                    <w:jc w:val="center"/>
                    <w:rPr>
                      <w:sz w:val="21"/>
                      <w:szCs w:val="21"/>
                    </w:rPr>
                  </w:pPr>
                </w:p>
              </w:tc>
              <w:tc>
                <w:tcPr>
                  <w:tcW w:w="428" w:type="pct"/>
                  <w:vAlign w:val="center"/>
                </w:tcPr>
                <w:p>
                  <w:pPr>
                    <w:adjustRightInd w:val="0"/>
                    <w:snapToGrid w:val="0"/>
                    <w:spacing w:line="240" w:lineRule="auto"/>
                    <w:jc w:val="center"/>
                    <w:rPr>
                      <w:sz w:val="21"/>
                      <w:szCs w:val="21"/>
                    </w:rPr>
                  </w:pPr>
                  <w:r>
                    <w:rPr>
                      <w:rFonts w:hint="eastAsia"/>
                      <w:sz w:val="21"/>
                      <w:szCs w:val="21"/>
                    </w:rPr>
                    <w:t>NE</w:t>
                  </w:r>
                </w:p>
              </w:tc>
              <w:tc>
                <w:tcPr>
                  <w:tcW w:w="458" w:type="pct"/>
                  <w:vAlign w:val="center"/>
                </w:tcPr>
                <w:p>
                  <w:pPr>
                    <w:adjustRightInd w:val="0"/>
                    <w:snapToGrid w:val="0"/>
                    <w:spacing w:line="240" w:lineRule="auto"/>
                    <w:jc w:val="center"/>
                    <w:rPr>
                      <w:sz w:val="21"/>
                      <w:szCs w:val="21"/>
                    </w:rPr>
                  </w:pPr>
                  <w:r>
                    <w:rPr>
                      <w:rFonts w:hint="eastAsia"/>
                      <w:sz w:val="21"/>
                      <w:szCs w:val="21"/>
                    </w:rPr>
                    <w:t>267</w:t>
                  </w:r>
                </w:p>
              </w:tc>
            </w:tr>
          </w:tbl>
          <w:p>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79" w:type="pct"/>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污染物排放控制标准</w:t>
            </w:r>
          </w:p>
        </w:tc>
        <w:tc>
          <w:tcPr>
            <w:tcW w:w="4521" w:type="pct"/>
            <w:vAlign w:val="center"/>
          </w:tcPr>
          <w:p>
            <w:pPr>
              <w:rPr>
                <w:b/>
                <w:bCs/>
              </w:rPr>
            </w:pPr>
            <w:r>
              <w:rPr>
                <w:rFonts w:hint="eastAsia"/>
                <w:b/>
                <w:bCs/>
              </w:rPr>
              <w:t>（一）废气排放标准</w:t>
            </w:r>
          </w:p>
          <w:p>
            <w:pPr>
              <w:ind w:firstLine="480" w:firstLineChars="200"/>
            </w:pPr>
            <w:r>
              <w:rPr>
                <w:rFonts w:hint="eastAsia"/>
              </w:rPr>
              <w:t>施工期扬尘执行《施工厂界扬尘排放限值》（DB61/1078-2017）中的要求；本项目运营期有组织排放颗粒物的排放应执行《大气污染物综合排放标准》（GB</w:t>
            </w:r>
            <w:r>
              <w:t>16297-1996</w:t>
            </w:r>
            <w:r>
              <w:rPr>
                <w:rFonts w:hint="eastAsia"/>
              </w:rPr>
              <w:t>）表</w:t>
            </w:r>
            <w:r>
              <w:t>2</w:t>
            </w:r>
            <w:r>
              <w:rPr>
                <w:rFonts w:hint="eastAsia"/>
              </w:rPr>
              <w:t>中标准要求，无组织排放颗粒物执行《水泥工业大气污染物排放标准》（</w:t>
            </w:r>
            <w:r>
              <w:t>GB 4915-2013</w:t>
            </w:r>
            <w:r>
              <w:rPr>
                <w:rFonts w:hint="eastAsia"/>
              </w:rPr>
              <w:t>）中相关标准的要求，具体废气排放标准执行情况见表</w:t>
            </w:r>
            <w:r>
              <w:t>3-</w:t>
            </w:r>
            <w:r>
              <w:rPr>
                <w:rFonts w:hint="eastAsia"/>
              </w:rPr>
              <w:t>5。</w:t>
            </w:r>
          </w:p>
          <w:p>
            <w:pPr>
              <w:pStyle w:val="61"/>
              <w:jc w:val="center"/>
              <w:rPr>
                <w:b/>
                <w:bCs/>
                <w:sz w:val="20"/>
                <w:szCs w:val="21"/>
              </w:rPr>
            </w:pPr>
            <w:r>
              <w:rPr>
                <w:b/>
                <w:bCs/>
                <w:sz w:val="20"/>
                <w:szCs w:val="21"/>
              </w:rPr>
              <w:t>表3</w:t>
            </w:r>
            <w:r>
              <w:rPr>
                <w:rFonts w:hint="eastAsia"/>
                <w:b/>
                <w:bCs/>
                <w:sz w:val="20"/>
                <w:szCs w:val="21"/>
              </w:rPr>
              <w:t>-5</w:t>
            </w:r>
            <w:r>
              <w:rPr>
                <w:b/>
                <w:bCs/>
                <w:sz w:val="20"/>
                <w:szCs w:val="21"/>
              </w:rPr>
              <w:t xml:space="preserve">  本项目大气污染物排放标准一览表</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106"/>
              <w:gridCol w:w="2662"/>
              <w:gridCol w:w="920"/>
              <w:gridCol w:w="777"/>
              <w:gridCol w:w="1025"/>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PrEx>
              <w:tc>
                <w:tcPr>
                  <w:tcW w:w="1406" w:type="pct"/>
                  <w:shd w:val="clear" w:color="auto" w:fill="auto"/>
                  <w:vAlign w:val="center"/>
                </w:tcPr>
                <w:p>
                  <w:pPr>
                    <w:pStyle w:val="27"/>
                    <w:jc w:val="center"/>
                  </w:pPr>
                  <w:r>
                    <w:t>执行标准</w:t>
                  </w:r>
                </w:p>
              </w:tc>
              <w:tc>
                <w:tcPr>
                  <w:tcW w:w="1777" w:type="pct"/>
                  <w:shd w:val="clear" w:color="auto" w:fill="auto"/>
                  <w:vAlign w:val="center"/>
                </w:tcPr>
                <w:p>
                  <w:pPr>
                    <w:pStyle w:val="27"/>
                    <w:jc w:val="center"/>
                  </w:pPr>
                  <w:r>
                    <w:rPr>
                      <w:rFonts w:hint="eastAsia"/>
                    </w:rPr>
                    <w:t>排放方式</w:t>
                  </w:r>
                </w:p>
              </w:tc>
              <w:tc>
                <w:tcPr>
                  <w:tcW w:w="614" w:type="pct"/>
                  <w:shd w:val="clear" w:color="auto" w:fill="auto"/>
                  <w:vAlign w:val="center"/>
                </w:tcPr>
                <w:p>
                  <w:pPr>
                    <w:pStyle w:val="27"/>
                    <w:jc w:val="center"/>
                  </w:pPr>
                  <w:r>
                    <w:rPr>
                      <w:rFonts w:hint="eastAsia"/>
                    </w:rPr>
                    <w:t>污染因子</w:t>
                  </w:r>
                </w:p>
              </w:tc>
              <w:tc>
                <w:tcPr>
                  <w:tcW w:w="519" w:type="pct"/>
                  <w:shd w:val="clear" w:color="auto" w:fill="auto"/>
                  <w:vAlign w:val="center"/>
                </w:tcPr>
                <w:p>
                  <w:pPr>
                    <w:pStyle w:val="27"/>
                    <w:jc w:val="center"/>
                  </w:pPr>
                  <w:r>
                    <w:t>单位</w:t>
                  </w:r>
                </w:p>
              </w:tc>
              <w:tc>
                <w:tcPr>
                  <w:tcW w:w="684" w:type="pct"/>
                  <w:shd w:val="clear" w:color="auto" w:fill="auto"/>
                  <w:vAlign w:val="center"/>
                </w:tcPr>
                <w:p>
                  <w:pPr>
                    <w:pStyle w:val="27"/>
                    <w:jc w:val="center"/>
                  </w:pPr>
                  <w:r>
                    <w:t>标准限值</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406" w:type="pct"/>
                  <w:vMerge w:val="restart"/>
                  <w:shd w:val="clear" w:color="auto" w:fill="auto"/>
                  <w:vAlign w:val="center"/>
                </w:tcPr>
                <w:p>
                  <w:pPr>
                    <w:pStyle w:val="27"/>
                    <w:jc w:val="center"/>
                  </w:pPr>
                  <w:r>
                    <w:rPr>
                      <w:rFonts w:hint="eastAsia"/>
                    </w:rPr>
                    <w:t>《施工场界扬尘排放限值》（DB61/1078-2017）</w:t>
                  </w:r>
                </w:p>
              </w:tc>
              <w:tc>
                <w:tcPr>
                  <w:tcW w:w="1777" w:type="pct"/>
                  <w:shd w:val="clear" w:color="auto" w:fill="auto"/>
                  <w:vAlign w:val="center"/>
                </w:tcPr>
                <w:p>
                  <w:pPr>
                    <w:pStyle w:val="27"/>
                    <w:jc w:val="center"/>
                  </w:pPr>
                  <w:r>
                    <w:rPr>
                      <w:rFonts w:hint="eastAsia"/>
                    </w:rPr>
                    <w:t>拆除、土方及地基处理工程</w:t>
                  </w:r>
                </w:p>
              </w:tc>
              <w:tc>
                <w:tcPr>
                  <w:tcW w:w="614" w:type="pct"/>
                  <w:shd w:val="clear" w:color="auto" w:fill="auto"/>
                  <w:vAlign w:val="center"/>
                </w:tcPr>
                <w:p>
                  <w:pPr>
                    <w:pStyle w:val="27"/>
                    <w:jc w:val="center"/>
                  </w:pPr>
                  <w:r>
                    <w:rPr>
                      <w:rFonts w:hint="eastAsia"/>
                    </w:rPr>
                    <w:t>颗粒物</w:t>
                  </w:r>
                </w:p>
              </w:tc>
              <w:tc>
                <w:tcPr>
                  <w:tcW w:w="519" w:type="pct"/>
                  <w:shd w:val="clear" w:color="auto" w:fill="auto"/>
                  <w:vAlign w:val="center"/>
                </w:tcPr>
                <w:p>
                  <w:pPr>
                    <w:pStyle w:val="27"/>
                    <w:jc w:val="center"/>
                  </w:pPr>
                  <w:r>
                    <w:t>m</w:t>
                  </w:r>
                  <w:r>
                    <w:rPr>
                      <w:rFonts w:hint="eastAsia"/>
                    </w:rPr>
                    <w:t>g/m</w:t>
                  </w:r>
                  <w:r>
                    <w:rPr>
                      <w:vertAlign w:val="superscript"/>
                    </w:rPr>
                    <w:t>3</w:t>
                  </w:r>
                </w:p>
              </w:tc>
              <w:tc>
                <w:tcPr>
                  <w:tcW w:w="684" w:type="pct"/>
                  <w:shd w:val="clear" w:color="auto" w:fill="auto"/>
                  <w:vAlign w:val="center"/>
                </w:tcPr>
                <w:p>
                  <w:pPr>
                    <w:pStyle w:val="27"/>
                    <w:jc w:val="center"/>
                  </w:pPr>
                  <w:r>
                    <w:rPr>
                      <w:rFonts w:eastAsia="宋体" w:cs="Times New Roman"/>
                      <w:kern w:val="44"/>
                    </w:rPr>
                    <w:t>≤0.8</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406" w:type="pct"/>
                  <w:vMerge w:val="continue"/>
                  <w:shd w:val="clear" w:color="auto" w:fill="auto"/>
                  <w:vAlign w:val="center"/>
                </w:tcPr>
                <w:p>
                  <w:pPr>
                    <w:pStyle w:val="27"/>
                    <w:jc w:val="center"/>
                  </w:pPr>
                </w:p>
              </w:tc>
              <w:tc>
                <w:tcPr>
                  <w:tcW w:w="1777" w:type="pct"/>
                  <w:shd w:val="clear" w:color="auto" w:fill="auto"/>
                  <w:vAlign w:val="center"/>
                </w:tcPr>
                <w:p>
                  <w:pPr>
                    <w:pStyle w:val="27"/>
                    <w:jc w:val="center"/>
                  </w:pPr>
                  <w:r>
                    <w:rPr>
                      <w:rFonts w:hint="eastAsia"/>
                    </w:rPr>
                    <w:t>基础、主体结构及装饰工程</w:t>
                  </w:r>
                </w:p>
              </w:tc>
              <w:tc>
                <w:tcPr>
                  <w:tcW w:w="614" w:type="pct"/>
                  <w:shd w:val="clear" w:color="auto" w:fill="auto"/>
                  <w:vAlign w:val="center"/>
                </w:tcPr>
                <w:p>
                  <w:pPr>
                    <w:pStyle w:val="27"/>
                    <w:jc w:val="center"/>
                  </w:pPr>
                  <w:r>
                    <w:rPr>
                      <w:rFonts w:hint="eastAsia"/>
                    </w:rPr>
                    <w:t>颗粒物</w:t>
                  </w:r>
                </w:p>
              </w:tc>
              <w:tc>
                <w:tcPr>
                  <w:tcW w:w="519" w:type="pct"/>
                  <w:shd w:val="clear" w:color="auto" w:fill="auto"/>
                  <w:vAlign w:val="center"/>
                </w:tcPr>
                <w:p>
                  <w:pPr>
                    <w:pStyle w:val="27"/>
                    <w:jc w:val="center"/>
                  </w:pPr>
                  <w:r>
                    <w:t>m</w:t>
                  </w:r>
                  <w:r>
                    <w:rPr>
                      <w:rFonts w:hint="eastAsia"/>
                    </w:rPr>
                    <w:t>g/m</w:t>
                  </w:r>
                  <w:r>
                    <w:rPr>
                      <w:vertAlign w:val="superscript"/>
                    </w:rPr>
                    <w:t>3</w:t>
                  </w:r>
                </w:p>
              </w:tc>
              <w:tc>
                <w:tcPr>
                  <w:tcW w:w="684" w:type="pct"/>
                  <w:shd w:val="clear" w:color="auto" w:fill="auto"/>
                  <w:vAlign w:val="center"/>
                </w:tcPr>
                <w:p>
                  <w:pPr>
                    <w:pStyle w:val="27"/>
                    <w:jc w:val="center"/>
                  </w:pPr>
                  <w:r>
                    <w:rPr>
                      <w:rFonts w:eastAsia="宋体" w:cs="Times New Roman"/>
                      <w:kern w:val="44"/>
                    </w:rPr>
                    <w:t>≤0.7</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406" w:type="pct"/>
                  <w:shd w:val="clear" w:color="auto" w:fill="auto"/>
                  <w:vAlign w:val="center"/>
                </w:tcPr>
                <w:p>
                  <w:pPr>
                    <w:pStyle w:val="27"/>
                    <w:jc w:val="center"/>
                  </w:pPr>
                  <w:r>
                    <w:rPr>
                      <w:rFonts w:hint="eastAsia"/>
                    </w:rPr>
                    <w:t>《大气污染物综合排放标准》（GB</w:t>
                  </w:r>
                  <w:r>
                    <w:t>16297-1996</w:t>
                  </w:r>
                  <w:r>
                    <w:rPr>
                      <w:rFonts w:hint="eastAsia"/>
                    </w:rPr>
                    <w:t>）</w:t>
                  </w:r>
                </w:p>
              </w:tc>
              <w:tc>
                <w:tcPr>
                  <w:tcW w:w="1777" w:type="pct"/>
                  <w:shd w:val="clear" w:color="auto" w:fill="auto"/>
                  <w:vAlign w:val="center"/>
                </w:tcPr>
                <w:p>
                  <w:pPr>
                    <w:pStyle w:val="27"/>
                    <w:jc w:val="center"/>
                  </w:pPr>
                  <w:r>
                    <w:rPr>
                      <w:rFonts w:hint="eastAsia"/>
                    </w:rPr>
                    <w:t>有组织排放</w:t>
                  </w:r>
                </w:p>
              </w:tc>
              <w:tc>
                <w:tcPr>
                  <w:tcW w:w="614" w:type="pct"/>
                  <w:shd w:val="clear" w:color="auto" w:fill="auto"/>
                  <w:vAlign w:val="center"/>
                </w:tcPr>
                <w:p>
                  <w:pPr>
                    <w:pStyle w:val="27"/>
                    <w:jc w:val="center"/>
                  </w:pPr>
                  <w:r>
                    <w:rPr>
                      <w:rFonts w:hint="eastAsia"/>
                    </w:rPr>
                    <w:t>颗粒物</w:t>
                  </w:r>
                </w:p>
              </w:tc>
              <w:tc>
                <w:tcPr>
                  <w:tcW w:w="519" w:type="pct"/>
                  <w:shd w:val="clear" w:color="auto" w:fill="auto"/>
                  <w:vAlign w:val="center"/>
                </w:tcPr>
                <w:p>
                  <w:pPr>
                    <w:pStyle w:val="27"/>
                    <w:jc w:val="center"/>
                  </w:pPr>
                  <w:r>
                    <w:t>m</w:t>
                  </w:r>
                  <w:r>
                    <w:rPr>
                      <w:rFonts w:hint="eastAsia"/>
                    </w:rPr>
                    <w:t>g/m</w:t>
                  </w:r>
                  <w:r>
                    <w:rPr>
                      <w:vertAlign w:val="superscript"/>
                    </w:rPr>
                    <w:t>3</w:t>
                  </w:r>
                </w:p>
              </w:tc>
              <w:tc>
                <w:tcPr>
                  <w:tcW w:w="684" w:type="pct"/>
                  <w:shd w:val="clear" w:color="auto" w:fill="auto"/>
                  <w:vAlign w:val="center"/>
                </w:tcPr>
                <w:p>
                  <w:pPr>
                    <w:pStyle w:val="27"/>
                    <w:jc w:val="center"/>
                  </w:pPr>
                  <w:r>
                    <w:rPr>
                      <w:rFonts w:hint="eastAsia"/>
                    </w:rPr>
                    <w:t>120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406" w:type="pct"/>
                  <w:shd w:val="clear" w:color="auto" w:fill="auto"/>
                  <w:vAlign w:val="center"/>
                </w:tcPr>
                <w:p>
                  <w:pPr>
                    <w:pStyle w:val="27"/>
                    <w:jc w:val="center"/>
                  </w:pPr>
                  <w:r>
                    <w:rPr>
                      <w:rFonts w:hint="eastAsia"/>
                    </w:rPr>
                    <w:t>《水泥工业大气污染物排放标准》（</w:t>
                  </w:r>
                  <w:r>
                    <w:t>GB 4915-2013</w:t>
                  </w:r>
                  <w:r>
                    <w:rPr>
                      <w:rFonts w:hint="eastAsia"/>
                    </w:rPr>
                    <w:t>）</w:t>
                  </w:r>
                </w:p>
              </w:tc>
              <w:tc>
                <w:tcPr>
                  <w:tcW w:w="1777" w:type="pct"/>
                  <w:shd w:val="clear" w:color="auto" w:fill="auto"/>
                  <w:vAlign w:val="center"/>
                </w:tcPr>
                <w:p>
                  <w:pPr>
                    <w:pStyle w:val="27"/>
                    <w:jc w:val="center"/>
                  </w:pPr>
                  <w:r>
                    <w:rPr>
                      <w:rFonts w:hint="eastAsia"/>
                    </w:rPr>
                    <w:t>无组织排放</w:t>
                  </w:r>
                </w:p>
              </w:tc>
              <w:tc>
                <w:tcPr>
                  <w:tcW w:w="614" w:type="pct"/>
                  <w:shd w:val="clear" w:color="auto" w:fill="auto"/>
                  <w:vAlign w:val="center"/>
                </w:tcPr>
                <w:p>
                  <w:pPr>
                    <w:pStyle w:val="27"/>
                    <w:jc w:val="center"/>
                  </w:pPr>
                  <w:r>
                    <w:rPr>
                      <w:rFonts w:hint="eastAsia"/>
                    </w:rPr>
                    <w:t>颗粒物</w:t>
                  </w:r>
                </w:p>
              </w:tc>
              <w:tc>
                <w:tcPr>
                  <w:tcW w:w="519" w:type="pct"/>
                  <w:shd w:val="clear" w:color="auto" w:fill="auto"/>
                  <w:vAlign w:val="center"/>
                </w:tcPr>
                <w:p>
                  <w:pPr>
                    <w:pStyle w:val="27"/>
                    <w:jc w:val="center"/>
                  </w:pPr>
                  <w:r>
                    <w:t>m</w:t>
                  </w:r>
                  <w:r>
                    <w:rPr>
                      <w:rFonts w:hint="eastAsia"/>
                    </w:rPr>
                    <w:t>g/m</w:t>
                  </w:r>
                  <w:r>
                    <w:rPr>
                      <w:vertAlign w:val="superscript"/>
                    </w:rPr>
                    <w:t>3</w:t>
                  </w:r>
                </w:p>
              </w:tc>
              <w:tc>
                <w:tcPr>
                  <w:tcW w:w="684" w:type="pct"/>
                  <w:shd w:val="clear" w:color="auto" w:fill="auto"/>
                  <w:vAlign w:val="center"/>
                </w:tcPr>
                <w:p>
                  <w:pPr>
                    <w:pStyle w:val="27"/>
                    <w:jc w:val="center"/>
                  </w:pPr>
                  <w:r>
                    <w:t>0.5</w:t>
                  </w:r>
                </w:p>
              </w:tc>
            </w:tr>
          </w:tbl>
          <w:p>
            <w:pPr>
              <w:rPr>
                <w:b/>
                <w:bCs/>
              </w:rPr>
            </w:pPr>
            <w:r>
              <w:rPr>
                <w:rFonts w:hint="eastAsia"/>
                <w:b/>
                <w:bCs/>
              </w:rPr>
              <w:t>（二）噪声排放标准</w:t>
            </w:r>
          </w:p>
          <w:p>
            <w:pPr>
              <w:ind w:firstLine="480" w:firstLineChars="200"/>
            </w:pPr>
            <w:r>
              <w:rPr>
                <w:rFonts w:hint="eastAsia"/>
              </w:rPr>
              <w:t>施工期场界噪声应执行《建筑施工场界环境噪声排放标准》（GB 12523-2011）表1建筑施工场界环境噪声排放限值要求。</w:t>
            </w:r>
          </w:p>
          <w:p>
            <w:pPr>
              <w:ind w:firstLine="480" w:firstLineChars="200"/>
            </w:pPr>
            <w:r>
              <w:rPr>
                <w:rFonts w:hint="eastAsia"/>
              </w:rPr>
              <w:t>本项目运营期厂界噪声排放执行《工业企业厂界环境噪声排放标准》（GB12348-2008）中的相关标准。</w:t>
            </w:r>
          </w:p>
          <w:p>
            <w:pPr>
              <w:pStyle w:val="61"/>
              <w:jc w:val="center"/>
              <w:rPr>
                <w:b/>
                <w:bCs/>
                <w:sz w:val="20"/>
                <w:szCs w:val="21"/>
              </w:rPr>
            </w:pPr>
            <w:r>
              <w:rPr>
                <w:b/>
                <w:bCs/>
                <w:sz w:val="20"/>
                <w:szCs w:val="21"/>
              </w:rPr>
              <w:t>表3</w:t>
            </w:r>
            <w:r>
              <w:rPr>
                <w:rFonts w:hint="eastAsia"/>
                <w:b/>
                <w:bCs/>
                <w:sz w:val="20"/>
                <w:szCs w:val="21"/>
              </w:rPr>
              <w:t>-6</w:t>
            </w:r>
            <w:r>
              <w:rPr>
                <w:b/>
                <w:bCs/>
                <w:sz w:val="20"/>
                <w:szCs w:val="21"/>
              </w:rPr>
              <w:t xml:space="preserve"> 工业企业环境噪声排放限值标准</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721"/>
              <w:gridCol w:w="1558"/>
              <w:gridCol w:w="1270"/>
              <w:gridCol w:w="12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50" w:type="pct"/>
                  <w:vMerge w:val="restart"/>
                  <w:vAlign w:val="center"/>
                </w:tcPr>
                <w:p>
                  <w:pPr>
                    <w:pStyle w:val="27"/>
                    <w:jc w:val="center"/>
                  </w:pPr>
                  <w:r>
                    <w:rPr>
                      <w:rFonts w:hint="eastAsia"/>
                    </w:rPr>
                    <w:t>监测点</w:t>
                  </w:r>
                </w:p>
              </w:tc>
              <w:tc>
                <w:tcPr>
                  <w:tcW w:w="1149" w:type="pct"/>
                  <w:vMerge w:val="restart"/>
                  <w:vAlign w:val="center"/>
                </w:tcPr>
                <w:p>
                  <w:pPr>
                    <w:pStyle w:val="27"/>
                    <w:jc w:val="center"/>
                  </w:pPr>
                  <w:r>
                    <w:t>级别</w:t>
                  </w:r>
                </w:p>
              </w:tc>
              <w:tc>
                <w:tcPr>
                  <w:tcW w:w="1040" w:type="pct"/>
                  <w:vMerge w:val="restart"/>
                  <w:vAlign w:val="center"/>
                </w:tcPr>
                <w:p>
                  <w:pPr>
                    <w:pStyle w:val="27"/>
                    <w:jc w:val="center"/>
                  </w:pPr>
                  <w:r>
                    <w:t>单位</w:t>
                  </w:r>
                </w:p>
              </w:tc>
              <w:tc>
                <w:tcPr>
                  <w:tcW w:w="1661" w:type="pct"/>
                  <w:gridSpan w:val="2"/>
                  <w:vAlign w:val="center"/>
                </w:tcPr>
                <w:p>
                  <w:pPr>
                    <w:pStyle w:val="27"/>
                    <w:jc w:val="center"/>
                  </w:pPr>
                  <w: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50" w:type="pct"/>
                  <w:vMerge w:val="continue"/>
                  <w:vAlign w:val="center"/>
                </w:tcPr>
                <w:p>
                  <w:pPr>
                    <w:pStyle w:val="27"/>
                    <w:jc w:val="center"/>
                  </w:pPr>
                </w:p>
              </w:tc>
              <w:tc>
                <w:tcPr>
                  <w:tcW w:w="1149" w:type="pct"/>
                  <w:vMerge w:val="continue"/>
                  <w:vAlign w:val="center"/>
                </w:tcPr>
                <w:p>
                  <w:pPr>
                    <w:pStyle w:val="27"/>
                    <w:jc w:val="center"/>
                  </w:pPr>
                </w:p>
              </w:tc>
              <w:tc>
                <w:tcPr>
                  <w:tcW w:w="1040" w:type="pct"/>
                  <w:vMerge w:val="continue"/>
                  <w:vAlign w:val="center"/>
                </w:tcPr>
                <w:p>
                  <w:pPr>
                    <w:pStyle w:val="27"/>
                    <w:jc w:val="center"/>
                  </w:pPr>
                </w:p>
              </w:tc>
              <w:tc>
                <w:tcPr>
                  <w:tcW w:w="848" w:type="pct"/>
                  <w:vAlign w:val="center"/>
                </w:tcPr>
                <w:p>
                  <w:pPr>
                    <w:pStyle w:val="27"/>
                    <w:jc w:val="center"/>
                  </w:pPr>
                  <w:r>
                    <w:t>昼间</w:t>
                  </w:r>
                </w:p>
              </w:tc>
              <w:tc>
                <w:tcPr>
                  <w:tcW w:w="813" w:type="pct"/>
                  <w:vAlign w:val="center"/>
                </w:tcPr>
                <w:p>
                  <w:pPr>
                    <w:pStyle w:val="27"/>
                    <w:jc w:val="center"/>
                  </w:pPr>
                  <w: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50" w:type="pct"/>
                  <w:vAlign w:val="center"/>
                </w:tcPr>
                <w:p>
                  <w:pPr>
                    <w:pStyle w:val="27"/>
                    <w:jc w:val="center"/>
                  </w:pPr>
                  <w:r>
                    <w:rPr>
                      <w:rFonts w:hint="eastAsia"/>
                    </w:rPr>
                    <w:t>施工期场界四周</w:t>
                  </w:r>
                </w:p>
              </w:tc>
              <w:tc>
                <w:tcPr>
                  <w:tcW w:w="1149" w:type="pct"/>
                  <w:vAlign w:val="center"/>
                </w:tcPr>
                <w:p>
                  <w:pPr>
                    <w:pStyle w:val="27"/>
                    <w:jc w:val="center"/>
                  </w:pPr>
                  <w:r>
                    <w:rPr>
                      <w:rFonts w:hint="eastAsia"/>
                    </w:rPr>
                    <w:t>/</w:t>
                  </w:r>
                </w:p>
              </w:tc>
              <w:tc>
                <w:tcPr>
                  <w:tcW w:w="1040" w:type="pct"/>
                  <w:vAlign w:val="center"/>
                </w:tcPr>
                <w:p>
                  <w:pPr>
                    <w:pStyle w:val="27"/>
                    <w:jc w:val="center"/>
                  </w:pPr>
                  <w:r>
                    <w:rPr>
                      <w:rFonts w:hint="eastAsia"/>
                    </w:rPr>
                    <w:t>dB（A）</w:t>
                  </w:r>
                </w:p>
              </w:tc>
              <w:tc>
                <w:tcPr>
                  <w:tcW w:w="848" w:type="pct"/>
                </w:tcPr>
                <w:p>
                  <w:pPr>
                    <w:pStyle w:val="27"/>
                    <w:jc w:val="center"/>
                  </w:pPr>
                  <w:r>
                    <w:t>70</w:t>
                  </w:r>
                </w:p>
              </w:tc>
              <w:tc>
                <w:tcPr>
                  <w:tcW w:w="813" w:type="pct"/>
                </w:tcPr>
                <w:p>
                  <w:pPr>
                    <w:pStyle w:val="27"/>
                    <w:jc w:val="center"/>
                  </w:pPr>
                  <w: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50" w:type="pct"/>
                  <w:vAlign w:val="center"/>
                </w:tcPr>
                <w:p>
                  <w:pPr>
                    <w:pStyle w:val="27"/>
                    <w:jc w:val="center"/>
                  </w:pPr>
                  <w:r>
                    <w:rPr>
                      <w:rFonts w:hint="eastAsia"/>
                    </w:rPr>
                    <w:t>运营期厂界四周</w:t>
                  </w:r>
                </w:p>
              </w:tc>
              <w:tc>
                <w:tcPr>
                  <w:tcW w:w="1149" w:type="pct"/>
                  <w:vAlign w:val="center"/>
                </w:tcPr>
                <w:p>
                  <w:pPr>
                    <w:pStyle w:val="27"/>
                    <w:jc w:val="center"/>
                  </w:pPr>
                  <w:r>
                    <w:rPr>
                      <w:rFonts w:hint="eastAsia"/>
                    </w:rPr>
                    <w:t>2类</w:t>
                  </w:r>
                </w:p>
              </w:tc>
              <w:tc>
                <w:tcPr>
                  <w:tcW w:w="1040" w:type="pct"/>
                  <w:vAlign w:val="center"/>
                </w:tcPr>
                <w:p>
                  <w:pPr>
                    <w:pStyle w:val="27"/>
                    <w:jc w:val="center"/>
                  </w:pPr>
                  <w:r>
                    <w:rPr>
                      <w:rFonts w:hint="eastAsia"/>
                    </w:rPr>
                    <w:t>dB（A）</w:t>
                  </w:r>
                </w:p>
              </w:tc>
              <w:tc>
                <w:tcPr>
                  <w:tcW w:w="848" w:type="pct"/>
                </w:tcPr>
                <w:p>
                  <w:pPr>
                    <w:pStyle w:val="27"/>
                    <w:jc w:val="center"/>
                  </w:pPr>
                  <w:r>
                    <w:t>60</w:t>
                  </w:r>
                </w:p>
              </w:tc>
              <w:tc>
                <w:tcPr>
                  <w:tcW w:w="813" w:type="pct"/>
                </w:tcPr>
                <w:p>
                  <w:pPr>
                    <w:pStyle w:val="27"/>
                    <w:jc w:val="center"/>
                  </w:pPr>
                  <w:r>
                    <w:t>50</w:t>
                  </w:r>
                </w:p>
              </w:tc>
            </w:tr>
          </w:tbl>
          <w:p>
            <w:pPr>
              <w:rPr>
                <w:b/>
                <w:bCs/>
              </w:rPr>
            </w:pPr>
            <w:r>
              <w:rPr>
                <w:rFonts w:hint="eastAsia"/>
                <w:b/>
                <w:bCs/>
              </w:rPr>
              <w:t>（三）废水排放</w:t>
            </w:r>
          </w:p>
          <w:p>
            <w:pPr>
              <w:adjustRightInd w:val="0"/>
              <w:snapToGrid w:val="0"/>
              <w:ind w:firstLine="480" w:firstLineChars="200"/>
              <w:rPr>
                <w:rFonts w:cs="Times New Roman"/>
                <w:kern w:val="0"/>
              </w:rPr>
            </w:pPr>
            <w:r>
              <w:rPr>
                <w:rFonts w:hint="eastAsia" w:cs="Times New Roman"/>
                <w:kern w:val="0"/>
              </w:rPr>
              <w:t>本项目施工期废水主要为施工废水和施工人员生活污水，场内设置临时沉淀池，经沉淀池处理后回用，不外排，施工人员生活污水经化粪池处理后定期清掏，不外排。</w:t>
            </w:r>
          </w:p>
          <w:p>
            <w:pPr>
              <w:adjustRightInd w:val="0"/>
              <w:snapToGrid w:val="0"/>
              <w:ind w:firstLine="480" w:firstLineChars="200"/>
              <w:rPr>
                <w:rFonts w:cs="Times New Roman"/>
                <w:kern w:val="0"/>
              </w:rPr>
            </w:pPr>
            <w:r>
              <w:rPr>
                <w:rFonts w:hint="eastAsia" w:cs="Times New Roman"/>
                <w:kern w:val="0"/>
              </w:rPr>
              <w:t>运营期废水主要为车辆冲洗废水和员工生活污水，车辆冲洗废水经沉淀池处理后回用，不外排；职工人员生活污水经化粪池处理后定期清掏，不外排。</w:t>
            </w:r>
          </w:p>
          <w:p>
            <w:pPr>
              <w:rPr>
                <w:b/>
                <w:bCs/>
              </w:rPr>
            </w:pPr>
            <w:r>
              <w:rPr>
                <w:rFonts w:hint="eastAsia"/>
                <w:b/>
                <w:bCs/>
              </w:rPr>
              <w:t>（四）固体废物处理与处置</w:t>
            </w:r>
          </w:p>
          <w:p>
            <w:pPr>
              <w:ind w:firstLine="480" w:firstLineChars="200"/>
            </w:pPr>
            <w:r>
              <w:rPr>
                <w:rFonts w:hint="eastAsia"/>
              </w:rPr>
              <w:t>本项目产生的一般固体废物执行《一般工业固体废物贮存和填埋污染控制标准》(GB18599-2020)中相关规定。危险废物的处置执行《危险废物贮存污染控制标准》（GB18597-2001）及修改单中的相关规定。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1" w:hRule="atLeast"/>
          <w:jc w:val="center"/>
        </w:trPr>
        <w:tc>
          <w:tcPr>
            <w:tcW w:w="479" w:type="pct"/>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总量控制指标</w:t>
            </w:r>
          </w:p>
        </w:tc>
        <w:tc>
          <w:tcPr>
            <w:tcW w:w="4521" w:type="pct"/>
            <w:vAlign w:val="center"/>
          </w:tcPr>
          <w:p>
            <w:pPr>
              <w:ind w:firstLine="480" w:firstLineChars="200"/>
            </w:pPr>
          </w:p>
          <w:p>
            <w:pPr>
              <w:ind w:firstLine="480" w:firstLineChars="200"/>
            </w:pPr>
          </w:p>
          <w:p>
            <w:pPr>
              <w:pStyle w:val="2"/>
            </w:pPr>
          </w:p>
          <w:p/>
          <w:p>
            <w:pPr>
              <w:pStyle w:val="2"/>
            </w:pPr>
          </w:p>
          <w:p/>
          <w:p>
            <w:pPr>
              <w:pStyle w:val="2"/>
            </w:pPr>
          </w:p>
          <w:p>
            <w:pPr>
              <w:ind w:firstLine="480" w:firstLineChars="200"/>
            </w:pPr>
            <w:r>
              <w:rPr>
                <w:rFonts w:hint="eastAsia"/>
              </w:rPr>
              <w:t>根据关于印发《“十四五”污染减排综合工作方案编制技术指南》：“十四五”期间对COD、氨氮、氮氧化物和VOCs等主要污染物实行排放总量控制计划管理。</w:t>
            </w:r>
          </w:p>
          <w:p>
            <w:pPr>
              <w:ind w:firstLine="480" w:firstLineChars="200"/>
            </w:pPr>
            <w:r>
              <w:rPr>
                <w:rFonts w:hint="eastAsia"/>
              </w:rPr>
              <w:t>结合项目的工艺特征和排污特点，所在区域环境质量现状、评价最终得出：本项目无需申请总量控制指标。</w:t>
            </w:r>
          </w:p>
          <w:p>
            <w:pPr>
              <w:pStyle w:val="2"/>
            </w:pPr>
          </w:p>
          <w:p/>
          <w:p>
            <w:pPr>
              <w:pStyle w:val="2"/>
            </w:pPr>
          </w:p>
          <w:p/>
          <w:p/>
        </w:tc>
      </w:tr>
    </w:tbl>
    <w:p>
      <w:pPr>
        <w:pStyle w:val="27"/>
        <w:sectPr>
          <w:pgSz w:w="11906" w:h="16838"/>
          <w:pgMar w:top="1440" w:right="1800" w:bottom="1440" w:left="1800" w:header="851" w:footer="992" w:gutter="0"/>
          <w:pgNumType w:fmt="numberInDash"/>
          <w:cols w:space="425" w:num="1"/>
          <w:docGrid w:type="lines" w:linePitch="312" w:charSpace="0"/>
        </w:sectPr>
      </w:pPr>
    </w:p>
    <w:p>
      <w:pPr>
        <w:pStyle w:val="16"/>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eastAsia="宋体" w:cs="Times New Roman"/>
                <w:b/>
                <w:bCs/>
                <w:kern w:val="0"/>
                <w:szCs w:val="20"/>
              </w:rPr>
            </w:pPr>
            <w:r>
              <w:rPr>
                <w:rFonts w:hint="eastAsia" w:eastAsia="宋体" w:cs="Times New Roman"/>
                <w:b/>
                <w:bCs/>
                <w:kern w:val="0"/>
                <w:szCs w:val="20"/>
              </w:rPr>
              <w:t>施工期环境保护措施</w:t>
            </w:r>
          </w:p>
        </w:tc>
        <w:tc>
          <w:tcPr>
            <w:tcW w:w="7760" w:type="dxa"/>
          </w:tcPr>
          <w:p>
            <w:pPr>
              <w:pStyle w:val="64"/>
              <w:spacing w:line="360" w:lineRule="auto"/>
              <w:ind w:firstLine="480" w:firstLineChars="200"/>
              <w:rPr>
                <w:rFonts w:ascii="Times New Roman" w:eastAsia="宋体" w:cs="Times New Roman"/>
                <w:color w:val="auto"/>
              </w:rPr>
            </w:pPr>
            <w:r>
              <w:rPr>
                <w:rFonts w:ascii="Times New Roman" w:eastAsia="宋体" w:cs="Times New Roman"/>
                <w:color w:val="auto"/>
              </w:rPr>
              <w:t>施工过程中不可避免的产生废气、废水、噪声及固废，其影响</w:t>
            </w:r>
            <w:r>
              <w:rPr>
                <w:rFonts w:hint="eastAsia" w:ascii="Times New Roman" w:eastAsia="宋体" w:cs="Times New Roman"/>
                <w:color w:val="auto"/>
              </w:rPr>
              <w:t>及</w:t>
            </w:r>
            <w:r>
              <w:rPr>
                <w:rFonts w:ascii="Times New Roman" w:eastAsia="宋体" w:cs="Times New Roman"/>
                <w:color w:val="auto"/>
              </w:rPr>
              <w:t>保护措施分析如下：</w:t>
            </w:r>
          </w:p>
          <w:p>
            <w:pPr>
              <w:rPr>
                <w:rFonts w:eastAsia="宋体" w:cs="Times New Roman"/>
                <w:b/>
                <w:kern w:val="0"/>
                <w:szCs w:val="20"/>
              </w:rPr>
            </w:pPr>
            <w:r>
              <w:rPr>
                <w:rFonts w:eastAsia="宋体" w:cs="Times New Roman"/>
                <w:b/>
                <w:kern w:val="0"/>
                <w:szCs w:val="24"/>
              </w:rPr>
              <w:t>（一）废气</w:t>
            </w:r>
            <w:r>
              <w:rPr>
                <w:rFonts w:eastAsia="宋体" w:cs="Times New Roman"/>
                <w:b/>
                <w:bCs/>
                <w:kern w:val="0"/>
                <w:szCs w:val="24"/>
              </w:rPr>
              <w:t>影响保护措施</w:t>
            </w:r>
          </w:p>
          <w:p>
            <w:pPr>
              <w:ind w:firstLine="480" w:firstLineChars="200"/>
              <w:rPr>
                <w:rFonts w:eastAsia="宋体" w:cs="Times New Roman"/>
                <w:kern w:val="0"/>
                <w:szCs w:val="20"/>
              </w:rPr>
            </w:pPr>
            <w:r>
              <w:rPr>
                <w:rFonts w:eastAsia="宋体" w:cs="Times New Roman"/>
                <w:kern w:val="0"/>
                <w:szCs w:val="24"/>
              </w:rPr>
              <w:t>施工期废气污染主要是施工扬尘</w:t>
            </w:r>
            <w:r>
              <w:rPr>
                <w:rFonts w:hint="eastAsia" w:eastAsia="宋体" w:cs="Times New Roman"/>
                <w:kern w:val="0"/>
                <w:szCs w:val="24"/>
              </w:rPr>
              <w:t>以及施工机械尾气</w:t>
            </w:r>
            <w:r>
              <w:rPr>
                <w:rFonts w:eastAsia="宋体" w:cs="Times New Roman"/>
                <w:kern w:val="0"/>
                <w:szCs w:val="24"/>
              </w:rPr>
              <w:t>，为使施工过程中产生的扬尘对周围环境空气的影响降低到最小程度，根据《关于印发&lt;陕西省建筑施工扬尘治理行动方案&gt;的通知》（陕建发[2013]293号）、《陕西省建筑施工扬尘治理措施16条》、《陕西省建筑施工扬尘治理措施16条》等文件规定要求，评价提出以下措施和要求：</w:t>
            </w:r>
          </w:p>
          <w:p>
            <w:pPr>
              <w:numPr>
                <w:ilvl w:val="0"/>
                <w:numId w:val="1"/>
              </w:numPr>
              <w:ind w:firstLine="480" w:firstLineChars="200"/>
              <w:jc w:val="both"/>
              <w:rPr>
                <w:rFonts w:eastAsia="宋体" w:cs="Times New Roman"/>
                <w:kern w:val="0"/>
                <w:szCs w:val="20"/>
              </w:rPr>
            </w:pPr>
            <w:r>
              <w:rPr>
                <w:rFonts w:eastAsia="宋体" w:cs="Times New Roman"/>
                <w:kern w:val="0"/>
                <w:szCs w:val="24"/>
              </w:rPr>
              <w:t>建设单位应当在施工前向工程主管部门、环境保护行政主管部门提交工地扬尘污染防治方案，将扬尘污染防治纳入工程监理范围，所需费用列入工程预算，并在工程承包合同中明确施工单位防治扬尘污染的责任。</w:t>
            </w:r>
          </w:p>
          <w:p>
            <w:pPr>
              <w:numPr>
                <w:ilvl w:val="0"/>
                <w:numId w:val="1"/>
              </w:numPr>
              <w:ind w:firstLine="480" w:firstLineChars="200"/>
              <w:jc w:val="both"/>
              <w:rPr>
                <w:rFonts w:eastAsia="宋体" w:cs="Times New Roman"/>
                <w:kern w:val="0"/>
                <w:szCs w:val="20"/>
              </w:rPr>
            </w:pPr>
            <w:r>
              <w:rPr>
                <w:rFonts w:eastAsia="宋体" w:cs="Times New Roman"/>
                <w:kern w:val="0"/>
                <w:szCs w:val="24"/>
              </w:rPr>
              <w:t>施工单位应当按照工地扬尘污染防治方案的要求施工，在建设工地必须设置环境保护牌，标明扬尘治理措施、责任人及监督电话、扬尘监管行政主管部门等有关信息，接受社会监督。</w:t>
            </w:r>
          </w:p>
          <w:p>
            <w:pPr>
              <w:numPr>
                <w:ilvl w:val="0"/>
                <w:numId w:val="1"/>
              </w:numPr>
              <w:ind w:firstLine="480" w:firstLineChars="200"/>
              <w:jc w:val="both"/>
              <w:rPr>
                <w:rFonts w:eastAsia="宋体" w:cs="Times New Roman"/>
                <w:kern w:val="0"/>
                <w:szCs w:val="20"/>
              </w:rPr>
            </w:pPr>
            <w:r>
              <w:rPr>
                <w:rFonts w:eastAsia="宋体" w:cs="Times New Roman"/>
                <w:kern w:val="0"/>
                <w:szCs w:val="24"/>
              </w:rPr>
              <w:t>施工场地内易产生扬尘的物料堆置必须采取封闭式、遮盖、洒水等抑尘措施，减少露天装卸作业。</w:t>
            </w:r>
          </w:p>
          <w:p>
            <w:pPr>
              <w:numPr>
                <w:ilvl w:val="0"/>
                <w:numId w:val="1"/>
              </w:numPr>
              <w:ind w:firstLine="480" w:firstLineChars="200"/>
              <w:jc w:val="both"/>
              <w:rPr>
                <w:rFonts w:eastAsia="宋体" w:cs="Times New Roman"/>
                <w:kern w:val="0"/>
                <w:szCs w:val="20"/>
              </w:rPr>
            </w:pPr>
            <w:r>
              <w:rPr>
                <w:rFonts w:eastAsia="宋体" w:cs="Times New Roman"/>
                <w:kern w:val="0"/>
                <w:szCs w:val="24"/>
              </w:rPr>
              <w:t>加强施工车辆运输监管，杜绝超速、超高装载、带泥上路、抛洒泄漏等现象。</w:t>
            </w:r>
          </w:p>
          <w:p>
            <w:pPr>
              <w:numPr>
                <w:ilvl w:val="0"/>
                <w:numId w:val="1"/>
              </w:numPr>
              <w:ind w:firstLine="480" w:firstLineChars="200"/>
              <w:jc w:val="both"/>
              <w:rPr>
                <w:rFonts w:eastAsia="宋体" w:cs="Times New Roman"/>
                <w:kern w:val="0"/>
                <w:szCs w:val="20"/>
              </w:rPr>
            </w:pPr>
            <w:r>
              <w:rPr>
                <w:rFonts w:eastAsia="宋体" w:cs="Times New Roman"/>
                <w:kern w:val="0"/>
                <w:szCs w:val="24"/>
              </w:rPr>
              <w:t>运输车辆加蓬盖、装卸场地在装卸前先冲洗干净，减少车轮、底盘等携带泥土散落路面。</w:t>
            </w:r>
          </w:p>
          <w:p>
            <w:pPr>
              <w:numPr>
                <w:ilvl w:val="0"/>
                <w:numId w:val="1"/>
              </w:numPr>
              <w:ind w:firstLine="480" w:firstLineChars="200"/>
              <w:jc w:val="both"/>
              <w:rPr>
                <w:rFonts w:eastAsia="宋体" w:cs="Times New Roman"/>
                <w:kern w:val="0"/>
                <w:szCs w:val="20"/>
              </w:rPr>
            </w:pPr>
            <w:r>
              <w:rPr>
                <w:rFonts w:eastAsia="宋体" w:cs="Times New Roman"/>
                <w:kern w:val="0"/>
                <w:szCs w:val="24"/>
              </w:rPr>
              <w:t>定期利用处理后的施工废水对裸露的运输道路和施工场所洒水。</w:t>
            </w:r>
          </w:p>
          <w:p>
            <w:pPr>
              <w:numPr>
                <w:ilvl w:val="0"/>
                <w:numId w:val="1"/>
              </w:numPr>
              <w:ind w:firstLine="480" w:firstLineChars="200"/>
              <w:jc w:val="both"/>
              <w:rPr>
                <w:rFonts w:eastAsia="宋体" w:cs="Times New Roman"/>
                <w:kern w:val="0"/>
                <w:szCs w:val="20"/>
              </w:rPr>
            </w:pPr>
            <w:r>
              <w:rPr>
                <w:rFonts w:eastAsia="宋体" w:cs="Times New Roman"/>
                <w:kern w:val="0"/>
                <w:szCs w:val="24"/>
              </w:rPr>
              <w:t>施工单位必须选用符合国家卫生防护标准的施工机械和运输工具，确保其废气排放符合国家有关标准。加强对机械设备的养护，减少不必要的空转时间，以控制尾气排放；严禁使用冒黑烟的柴油打桩机。</w:t>
            </w:r>
          </w:p>
          <w:p>
            <w:pPr>
              <w:numPr>
                <w:ilvl w:val="0"/>
                <w:numId w:val="1"/>
              </w:numPr>
              <w:ind w:firstLine="480" w:firstLineChars="200"/>
              <w:jc w:val="both"/>
              <w:rPr>
                <w:rFonts w:eastAsia="宋体" w:cs="Times New Roman"/>
                <w:kern w:val="0"/>
                <w:szCs w:val="20"/>
              </w:rPr>
            </w:pPr>
            <w:r>
              <w:rPr>
                <w:rFonts w:eastAsia="宋体" w:cs="Times New Roman"/>
                <w:kern w:val="0"/>
                <w:szCs w:val="24"/>
              </w:rPr>
              <w:t>施工工地内的车行道路采取硬化或者铺设礁渣、砾石或其他功能相当的材料，并辅以洒水、喷洒抑尘剂等措施。</w:t>
            </w:r>
          </w:p>
          <w:p>
            <w:pPr>
              <w:numPr>
                <w:ilvl w:val="0"/>
                <w:numId w:val="1"/>
              </w:numPr>
              <w:ind w:firstLine="480" w:firstLineChars="200"/>
              <w:jc w:val="both"/>
              <w:rPr>
                <w:rFonts w:eastAsia="宋体" w:cs="Times New Roman"/>
                <w:kern w:val="0"/>
                <w:szCs w:val="20"/>
              </w:rPr>
            </w:pPr>
            <w:r>
              <w:rPr>
                <w:rFonts w:eastAsia="宋体" w:cs="Times New Roman"/>
                <w:kern w:val="0"/>
                <w:szCs w:val="24"/>
              </w:rPr>
              <w:t>施工工地出入口内侧安装车辆冲洗设备，车辆冲洗干净后方可驶出。</w:t>
            </w:r>
          </w:p>
          <w:p>
            <w:pPr>
              <w:numPr>
                <w:ilvl w:val="0"/>
                <w:numId w:val="1"/>
              </w:numPr>
              <w:ind w:firstLine="480" w:firstLineChars="200"/>
              <w:jc w:val="both"/>
              <w:rPr>
                <w:rFonts w:eastAsia="宋体" w:cs="Times New Roman"/>
                <w:kern w:val="0"/>
                <w:szCs w:val="20"/>
              </w:rPr>
            </w:pPr>
            <w:r>
              <w:rPr>
                <w:rFonts w:eastAsia="宋体" w:cs="Times New Roman"/>
                <w:kern w:val="0"/>
                <w:szCs w:val="24"/>
              </w:rPr>
              <w:t>保持施工工地出入口通道及其周边100米以内道路的清洁。</w:t>
            </w:r>
          </w:p>
          <w:p>
            <w:pPr>
              <w:numPr>
                <w:ilvl w:val="0"/>
                <w:numId w:val="1"/>
              </w:numPr>
              <w:ind w:firstLine="480" w:firstLineChars="200"/>
              <w:jc w:val="both"/>
              <w:rPr>
                <w:rFonts w:eastAsia="宋体" w:cs="Times New Roman"/>
                <w:kern w:val="0"/>
                <w:szCs w:val="20"/>
              </w:rPr>
            </w:pPr>
            <w:r>
              <w:rPr>
                <w:rFonts w:eastAsia="宋体" w:cs="Times New Roman"/>
                <w:kern w:val="0"/>
                <w:szCs w:val="24"/>
              </w:rPr>
              <w:t>建筑垃圾和渣土不能及时清运的，完全覆盖防尘布或者防尘网。</w:t>
            </w:r>
          </w:p>
          <w:p>
            <w:pPr>
              <w:numPr>
                <w:ilvl w:val="0"/>
                <w:numId w:val="1"/>
              </w:numPr>
              <w:ind w:firstLine="480" w:firstLineChars="200"/>
              <w:jc w:val="both"/>
              <w:rPr>
                <w:rFonts w:eastAsia="宋体" w:cs="Times New Roman"/>
                <w:kern w:val="0"/>
                <w:szCs w:val="20"/>
              </w:rPr>
            </w:pPr>
            <w:r>
              <w:rPr>
                <w:rFonts w:eastAsia="宋体" w:cs="Times New Roman"/>
                <w:kern w:val="0"/>
                <w:szCs w:val="24"/>
              </w:rPr>
              <w:t>在工地内堆放砂石、土方及其他易产生扬尘物料的，采取覆盖防尘布或者防尘网、定期喷洒抑尘剂或者洒水等措施。</w:t>
            </w:r>
          </w:p>
          <w:p>
            <w:pPr>
              <w:ind w:firstLine="480" w:firstLineChars="200"/>
              <w:rPr>
                <w:rFonts w:eastAsia="宋体" w:cs="Times New Roman"/>
                <w:kern w:val="0"/>
                <w:szCs w:val="24"/>
              </w:rPr>
            </w:pPr>
            <w:r>
              <w:rPr>
                <w:rFonts w:eastAsia="宋体" w:cs="Times New Roman"/>
                <w:kern w:val="0"/>
                <w:szCs w:val="24"/>
              </w:rPr>
              <w:t>建设单位施工过程必须达到“六个百分之百”标准要求，即施工工地周边100%围挡、物料堆放100%苫盖、出入车辆100%冲洗、施工现场地面100%覆盖、出入口100%硬化、渣土车辆100%封闭式运输，确保施工场界扬尘满足《施工场界扬尘排放限值》（DB61/1078-2017）排放限值要求，减缓施工扬尘对周围环境</w:t>
            </w:r>
            <w:r>
              <w:rPr>
                <w:rFonts w:hint="eastAsia" w:eastAsia="宋体" w:cs="Times New Roman"/>
                <w:kern w:val="0"/>
                <w:szCs w:val="24"/>
              </w:rPr>
              <w:t>及周围保护目标</w:t>
            </w:r>
            <w:r>
              <w:rPr>
                <w:rFonts w:eastAsia="宋体" w:cs="Times New Roman"/>
                <w:kern w:val="0"/>
                <w:szCs w:val="24"/>
              </w:rPr>
              <w:t>的影响。</w:t>
            </w:r>
          </w:p>
          <w:p>
            <w:pPr>
              <w:ind w:firstLine="480" w:firstLineChars="200"/>
              <w:rPr>
                <w:rFonts w:eastAsia="宋体" w:cs="Times New Roman"/>
                <w:kern w:val="0"/>
                <w:szCs w:val="24"/>
              </w:rPr>
            </w:pPr>
            <w:r>
              <w:rPr>
                <w:rFonts w:hint="eastAsia" w:eastAsia="宋体" w:cs="Times New Roman"/>
                <w:kern w:val="0"/>
                <w:szCs w:val="24"/>
              </w:rPr>
              <w:t>（1</w:t>
            </w:r>
            <w:r>
              <w:rPr>
                <w:rFonts w:eastAsia="宋体" w:cs="Times New Roman"/>
                <w:kern w:val="0"/>
                <w:szCs w:val="24"/>
              </w:rPr>
              <w:t>3</w:t>
            </w:r>
            <w:r>
              <w:rPr>
                <w:rFonts w:hint="eastAsia" w:eastAsia="宋体" w:cs="Times New Roman"/>
                <w:kern w:val="0"/>
                <w:szCs w:val="24"/>
              </w:rPr>
              <w:t>）本项目应加强机械管理，使用符合国家标准的燃料，采用合适质量级别的润滑油等措施，使用的施工机械及柴油电机应满足《非道路柴油移动机械污物排放控制技术要求》（HJ1014-2020）中的相关要求。</w:t>
            </w:r>
          </w:p>
          <w:p>
            <w:pPr>
              <w:ind w:firstLine="480" w:firstLineChars="200"/>
              <w:rPr>
                <w:rFonts w:eastAsia="宋体" w:cs="Times New Roman"/>
                <w:kern w:val="0"/>
                <w:szCs w:val="24"/>
              </w:rPr>
            </w:pPr>
            <w:r>
              <w:rPr>
                <w:rFonts w:hint="eastAsia" w:eastAsia="宋体" w:cs="Times New Roman"/>
                <w:kern w:val="0"/>
                <w:szCs w:val="24"/>
              </w:rPr>
              <w:t>综上，</w:t>
            </w:r>
            <w:r>
              <w:rPr>
                <w:rFonts w:eastAsia="宋体" w:cs="Times New Roman"/>
                <w:kern w:val="0"/>
                <w:szCs w:val="24"/>
              </w:rPr>
              <w:t>采取以上废气污染防治措施，施工期扬尘对周围环境的影响很小，措施可行</w:t>
            </w:r>
            <w:r>
              <w:rPr>
                <w:rFonts w:hint="eastAsia" w:eastAsia="宋体" w:cs="Times New Roman"/>
                <w:kern w:val="0"/>
                <w:szCs w:val="24"/>
              </w:rPr>
              <w:t>。</w:t>
            </w:r>
          </w:p>
          <w:p>
            <w:pPr>
              <w:rPr>
                <w:rFonts w:eastAsia="宋体" w:cs="Times New Roman"/>
                <w:b/>
                <w:kern w:val="0"/>
                <w:szCs w:val="20"/>
              </w:rPr>
            </w:pPr>
            <w:r>
              <w:rPr>
                <w:rFonts w:eastAsia="宋体" w:cs="Times New Roman"/>
                <w:b/>
                <w:kern w:val="0"/>
                <w:szCs w:val="24"/>
              </w:rPr>
              <w:t>（二）废水</w:t>
            </w:r>
            <w:r>
              <w:rPr>
                <w:rFonts w:eastAsia="宋体" w:cs="Times New Roman"/>
                <w:b/>
                <w:bCs/>
                <w:kern w:val="0"/>
                <w:szCs w:val="24"/>
              </w:rPr>
              <w:t>影响保护措施</w:t>
            </w:r>
          </w:p>
          <w:p>
            <w:pPr>
              <w:ind w:firstLine="480" w:firstLineChars="200"/>
              <w:rPr>
                <w:rFonts w:eastAsia="宋体" w:cs="Times New Roman"/>
                <w:kern w:val="0"/>
                <w:szCs w:val="20"/>
              </w:rPr>
            </w:pPr>
            <w:r>
              <w:rPr>
                <w:rFonts w:eastAsia="宋体" w:cs="Times New Roman"/>
                <w:kern w:val="0"/>
                <w:szCs w:val="24"/>
              </w:rPr>
              <w:t>施工期废水包括施工废水和施工人员生活污水。</w:t>
            </w:r>
          </w:p>
          <w:p>
            <w:pPr>
              <w:numPr>
                <w:ilvl w:val="0"/>
                <w:numId w:val="2"/>
              </w:numPr>
              <w:ind w:firstLine="480" w:firstLineChars="200"/>
              <w:jc w:val="both"/>
              <w:rPr>
                <w:rFonts w:eastAsia="宋体" w:cs="Times New Roman"/>
                <w:kern w:val="0"/>
                <w:szCs w:val="20"/>
              </w:rPr>
            </w:pPr>
            <w:r>
              <w:rPr>
                <w:rFonts w:eastAsia="宋体" w:cs="Times New Roman"/>
                <w:kern w:val="0"/>
                <w:szCs w:val="24"/>
              </w:rPr>
              <w:t>施工废水</w:t>
            </w:r>
          </w:p>
          <w:p>
            <w:pPr>
              <w:ind w:firstLine="480" w:firstLineChars="200"/>
              <w:rPr>
                <w:rFonts w:eastAsia="宋体" w:cs="Times New Roman"/>
                <w:kern w:val="0"/>
                <w:szCs w:val="20"/>
              </w:rPr>
            </w:pPr>
            <w:r>
              <w:rPr>
                <w:rFonts w:eastAsia="宋体" w:cs="Times New Roman"/>
                <w:kern w:val="0"/>
                <w:szCs w:val="24"/>
              </w:rPr>
              <w:t>施工废水主要污染物为泥沙，在施工现场设置临时沉砂池，施工废水经沉淀后回用于车辆冲洗、工地洒水降尘等，不外排，基本不会对水环境造成不利影响，措施可行。</w:t>
            </w:r>
          </w:p>
          <w:p>
            <w:pPr>
              <w:numPr>
                <w:ilvl w:val="0"/>
                <w:numId w:val="2"/>
              </w:numPr>
              <w:ind w:firstLine="480" w:firstLineChars="200"/>
              <w:jc w:val="both"/>
              <w:rPr>
                <w:rFonts w:eastAsia="宋体" w:cs="Times New Roman"/>
                <w:kern w:val="0"/>
                <w:szCs w:val="20"/>
              </w:rPr>
            </w:pPr>
            <w:r>
              <w:rPr>
                <w:rFonts w:eastAsia="宋体" w:cs="Times New Roman"/>
                <w:kern w:val="0"/>
                <w:szCs w:val="24"/>
              </w:rPr>
              <w:t>施工人员生活污水</w:t>
            </w:r>
          </w:p>
          <w:p>
            <w:pPr>
              <w:ind w:firstLine="480" w:firstLineChars="200"/>
              <w:rPr>
                <w:rFonts w:eastAsia="宋体" w:cs="Times New Roman"/>
                <w:kern w:val="0"/>
                <w:szCs w:val="20"/>
              </w:rPr>
            </w:pPr>
            <w:r>
              <w:rPr>
                <w:rFonts w:eastAsia="宋体" w:cs="Times New Roman"/>
                <w:kern w:val="0"/>
                <w:szCs w:val="24"/>
              </w:rPr>
              <w:t>生活污水项目施工人员依托周边村庄现有生活设施，不在项目区食宿，施工期平均施工人员约20人，根据《建筑施工计算手册》临时设施施工，以每人每天用水量0.06m</w:t>
            </w:r>
            <w:r>
              <w:rPr>
                <w:rFonts w:eastAsia="宋体" w:cs="Times New Roman"/>
                <w:kern w:val="0"/>
                <w:szCs w:val="24"/>
                <w:vertAlign w:val="superscript"/>
              </w:rPr>
              <w:t>3</w:t>
            </w:r>
            <w:r>
              <w:rPr>
                <w:rFonts w:eastAsia="宋体" w:cs="Times New Roman"/>
                <w:kern w:val="0"/>
                <w:szCs w:val="24"/>
              </w:rPr>
              <w:t>计，则施工期施工人员用水量为1.2m</w:t>
            </w:r>
            <w:r>
              <w:rPr>
                <w:rFonts w:eastAsia="宋体" w:cs="Times New Roman"/>
                <w:kern w:val="0"/>
                <w:szCs w:val="24"/>
                <w:vertAlign w:val="superscript"/>
              </w:rPr>
              <w:t>3</w:t>
            </w:r>
            <w:r>
              <w:rPr>
                <w:rFonts w:eastAsia="宋体" w:cs="Times New Roman"/>
                <w:kern w:val="0"/>
                <w:szCs w:val="24"/>
              </w:rPr>
              <w:t>/d，废水产生系数取0.8，施工过程中废水产生量为0.96m</w:t>
            </w:r>
            <w:r>
              <w:rPr>
                <w:rFonts w:eastAsia="宋体" w:cs="Times New Roman"/>
                <w:kern w:val="0"/>
                <w:szCs w:val="24"/>
                <w:vertAlign w:val="superscript"/>
              </w:rPr>
              <w:t>3</w:t>
            </w:r>
            <w:r>
              <w:rPr>
                <w:rFonts w:eastAsia="宋体" w:cs="Times New Roman"/>
                <w:kern w:val="0"/>
                <w:szCs w:val="24"/>
              </w:rPr>
              <w:t>/d，施工人员来自附近村庄，生活污水排入临时旱厕，定期由附近村民清理，少量生活盥洗水收集后作施工场地、道路和绿化洒水，不会对周围地表水环境产生明显不利影响。</w:t>
            </w:r>
          </w:p>
          <w:p>
            <w:pPr>
              <w:ind w:firstLine="480" w:firstLineChars="200"/>
              <w:rPr>
                <w:rFonts w:eastAsia="宋体" w:cs="Times New Roman"/>
                <w:kern w:val="0"/>
                <w:szCs w:val="20"/>
              </w:rPr>
            </w:pPr>
            <w:r>
              <w:rPr>
                <w:rFonts w:eastAsia="宋体" w:cs="Times New Roman"/>
                <w:kern w:val="0"/>
                <w:szCs w:val="24"/>
              </w:rPr>
              <w:t>采取以上废水污染防治措施，施工期废水对地表水环境影响较小，措施可行。</w:t>
            </w:r>
          </w:p>
          <w:p>
            <w:pPr>
              <w:rPr>
                <w:rFonts w:eastAsia="宋体" w:cs="Times New Roman"/>
                <w:b/>
                <w:kern w:val="0"/>
                <w:szCs w:val="20"/>
              </w:rPr>
            </w:pPr>
            <w:r>
              <w:rPr>
                <w:rFonts w:eastAsia="宋体" w:cs="Times New Roman"/>
                <w:b/>
                <w:kern w:val="0"/>
                <w:szCs w:val="24"/>
              </w:rPr>
              <w:t>（三）噪声</w:t>
            </w:r>
            <w:r>
              <w:rPr>
                <w:rFonts w:eastAsia="宋体" w:cs="Times New Roman"/>
                <w:b/>
                <w:bCs/>
                <w:kern w:val="0"/>
                <w:szCs w:val="24"/>
              </w:rPr>
              <w:t>影响保护措施</w:t>
            </w:r>
          </w:p>
          <w:p>
            <w:pPr>
              <w:ind w:firstLine="480" w:firstLineChars="200"/>
              <w:rPr>
                <w:rFonts w:eastAsia="宋体" w:cs="Times New Roman"/>
                <w:kern w:val="0"/>
                <w:szCs w:val="24"/>
              </w:rPr>
            </w:pPr>
            <w:r>
              <w:rPr>
                <w:rFonts w:eastAsia="宋体" w:cs="Times New Roman"/>
                <w:kern w:val="0"/>
                <w:szCs w:val="24"/>
              </w:rPr>
              <w:t>根据类比调查及本项目提供的主要设备选型等有关资料分析，设备高达90dB(A)以上的噪声源施工机械主要有挖掘机、振均机、电钻等，仅在昼间施工。在实际施工过程中可能出现多台施工机械同时在一起作业，为了进一步减少噪声对环境的影响，做出以下措施：</w:t>
            </w:r>
          </w:p>
          <w:p>
            <w:pPr>
              <w:ind w:firstLine="480" w:firstLineChars="200"/>
              <w:rPr>
                <w:rFonts w:eastAsia="宋体" w:cs="Times New Roman"/>
                <w:kern w:val="0"/>
                <w:szCs w:val="20"/>
              </w:rPr>
            </w:pPr>
            <w:r>
              <w:rPr>
                <w:rFonts w:eastAsia="宋体" w:cs="Times New Roman"/>
                <w:kern w:val="0"/>
                <w:szCs w:val="24"/>
              </w:rPr>
              <w:t>（</w:t>
            </w:r>
            <w:r>
              <w:rPr>
                <w:rFonts w:hint="eastAsia" w:eastAsia="宋体" w:cs="Times New Roman"/>
                <w:kern w:val="0"/>
                <w:szCs w:val="24"/>
              </w:rPr>
              <w:t>1</w:t>
            </w:r>
            <w:r>
              <w:rPr>
                <w:rFonts w:eastAsia="宋体" w:cs="Times New Roman"/>
                <w:kern w:val="0"/>
                <w:szCs w:val="24"/>
              </w:rPr>
              <w:t>）</w:t>
            </w:r>
            <w:r>
              <w:rPr>
                <w:rFonts w:hint="eastAsia" w:eastAsia="宋体" w:cs="Times New Roman"/>
                <w:kern w:val="0"/>
                <w:szCs w:val="24"/>
              </w:rPr>
              <w:t>优化</w:t>
            </w:r>
            <w:r>
              <w:rPr>
                <w:rFonts w:eastAsia="宋体" w:cs="Times New Roman"/>
                <w:kern w:val="0"/>
                <w:szCs w:val="24"/>
              </w:rPr>
              <w:t>布局施工现场，避免在同一地点安排大量</w:t>
            </w:r>
            <w:r>
              <w:rPr>
                <w:rFonts w:hint="eastAsia" w:eastAsia="宋体" w:cs="Times New Roman"/>
                <w:kern w:val="0"/>
                <w:szCs w:val="24"/>
              </w:rPr>
              <w:t>起重机械、空压机等高噪声施工设备</w:t>
            </w:r>
            <w:r>
              <w:rPr>
                <w:rFonts w:eastAsia="宋体" w:cs="Times New Roman"/>
                <w:kern w:val="0"/>
                <w:szCs w:val="24"/>
              </w:rPr>
              <w:t>，以避免局部噪声级过高；各种高噪声级机械布置在施工场地中央，</w:t>
            </w:r>
            <w:r>
              <w:rPr>
                <w:rFonts w:hint="eastAsia" w:eastAsia="宋体" w:cs="Times New Roman"/>
                <w:kern w:val="0"/>
                <w:szCs w:val="24"/>
              </w:rPr>
              <w:t>钢筋加工作业宜采用专业化生产的成型钢筋，或在尽量远离敏感点设置钢筋加工预制场地。</w:t>
            </w:r>
          </w:p>
          <w:p>
            <w:pPr>
              <w:ind w:firstLine="480" w:firstLineChars="200"/>
              <w:rPr>
                <w:rFonts w:eastAsia="宋体" w:cs="Times New Roman"/>
                <w:kern w:val="0"/>
                <w:szCs w:val="24"/>
              </w:rPr>
            </w:pPr>
            <w:r>
              <w:rPr>
                <w:rFonts w:hint="eastAsia" w:eastAsia="宋体" w:cs="Times New Roman"/>
                <w:kern w:val="0"/>
                <w:szCs w:val="24"/>
              </w:rPr>
              <w:t>（2）厂房施工时应控制噪声敏感点的距离，</w:t>
            </w:r>
            <w:r>
              <w:rPr>
                <w:rFonts w:eastAsia="宋体" w:cs="Times New Roman"/>
                <w:kern w:val="0"/>
                <w:szCs w:val="24"/>
              </w:rPr>
              <w:t>通</w:t>
            </w:r>
            <w:r>
              <w:rPr>
                <w:rFonts w:eastAsia="宋体" w:cs="Times New Roman"/>
                <w:kern w:val="0"/>
                <w:szCs w:val="20"/>
              </w:rPr>
              <w:t>过距离衰减和</w:t>
            </w:r>
            <w:r>
              <w:rPr>
                <w:rFonts w:hint="eastAsia" w:eastAsia="宋体" w:cs="Times New Roman"/>
                <w:kern w:val="0"/>
                <w:szCs w:val="20"/>
              </w:rPr>
              <w:t>北侧林地的</w:t>
            </w:r>
            <w:r>
              <w:rPr>
                <w:rFonts w:eastAsia="宋体" w:cs="Times New Roman"/>
                <w:kern w:val="0"/>
                <w:szCs w:val="20"/>
              </w:rPr>
              <w:t>阻隔来实现降噪</w:t>
            </w:r>
            <w:r>
              <w:rPr>
                <w:rFonts w:hint="eastAsia" w:eastAsia="宋体" w:cs="Times New Roman"/>
                <w:kern w:val="0"/>
                <w:szCs w:val="20"/>
              </w:rPr>
              <w:t>。</w:t>
            </w:r>
          </w:p>
          <w:p>
            <w:pPr>
              <w:ind w:firstLine="480" w:firstLineChars="200"/>
              <w:rPr>
                <w:rFonts w:eastAsia="宋体" w:cs="Times New Roman"/>
                <w:kern w:val="0"/>
                <w:szCs w:val="20"/>
              </w:rPr>
            </w:pPr>
            <w:r>
              <w:rPr>
                <w:rFonts w:hint="eastAsia" w:eastAsia="宋体" w:cs="Times New Roman"/>
                <w:kern w:val="0"/>
                <w:szCs w:val="20"/>
              </w:rPr>
              <w:t>（3）</w:t>
            </w:r>
            <w:r>
              <w:rPr>
                <w:rFonts w:eastAsia="宋体" w:cs="Times New Roman"/>
                <w:kern w:val="0"/>
                <w:szCs w:val="20"/>
              </w:rPr>
              <w:t>合理安排施工计划和施工机械设备组合以及施工时间，</w:t>
            </w:r>
            <w:r>
              <w:rPr>
                <w:rFonts w:hint="eastAsia" w:eastAsia="宋体" w:cs="Times New Roman"/>
                <w:kern w:val="0"/>
                <w:szCs w:val="20"/>
              </w:rPr>
              <w:t>禁止在中午（12:00～14:00）和夜间（22:00～6:00）施工。</w:t>
            </w:r>
          </w:p>
          <w:p>
            <w:pPr>
              <w:ind w:firstLine="480" w:firstLineChars="200"/>
              <w:rPr>
                <w:rFonts w:eastAsia="宋体" w:cs="Times New Roman"/>
                <w:kern w:val="0"/>
                <w:szCs w:val="20"/>
              </w:rPr>
            </w:pPr>
            <w:r>
              <w:rPr>
                <w:rFonts w:eastAsia="宋体" w:cs="Times New Roman"/>
                <w:kern w:val="0"/>
                <w:szCs w:val="20"/>
              </w:rPr>
              <w:t>（</w:t>
            </w:r>
            <w:r>
              <w:rPr>
                <w:rFonts w:hint="eastAsia" w:eastAsia="宋体" w:cs="Times New Roman"/>
                <w:kern w:val="0"/>
                <w:szCs w:val="20"/>
              </w:rPr>
              <w:t>4</w:t>
            </w:r>
            <w:r>
              <w:rPr>
                <w:rFonts w:eastAsia="宋体" w:cs="Times New Roman"/>
                <w:kern w:val="0"/>
                <w:szCs w:val="20"/>
              </w:rPr>
              <w:t>）建设单位施工过程中选用低噪声设备和工艺，加强检查、维护和保养机械设备，保持润滑，紧固各部件，减少运行震动噪声。整体设备安放稳固，并与地面保持良好接触，有条件的应使用减振机座，降低噪声。对动力机械设备进行定期维修、养护，避免设备因松动部件的振动或消声器的损坏而增加其工作时的声压级；设备用完或不用时应及时关闭</w:t>
            </w:r>
            <w:r>
              <w:rPr>
                <w:rFonts w:hint="eastAsia" w:eastAsia="宋体" w:cs="Times New Roman"/>
                <w:kern w:val="0"/>
                <w:szCs w:val="20"/>
              </w:rPr>
              <w:t>。</w:t>
            </w:r>
          </w:p>
          <w:p>
            <w:pPr>
              <w:ind w:firstLine="480" w:firstLineChars="200"/>
              <w:rPr>
                <w:rFonts w:eastAsia="宋体" w:cs="Times New Roman"/>
                <w:kern w:val="0"/>
                <w:szCs w:val="20"/>
              </w:rPr>
            </w:pPr>
            <w:r>
              <w:rPr>
                <w:rFonts w:eastAsia="宋体" w:cs="Times New Roman"/>
                <w:kern w:val="0"/>
                <w:szCs w:val="20"/>
              </w:rPr>
              <w:t>（</w:t>
            </w:r>
            <w:r>
              <w:rPr>
                <w:rFonts w:hint="eastAsia" w:eastAsia="宋体" w:cs="Times New Roman"/>
                <w:kern w:val="0"/>
                <w:szCs w:val="20"/>
              </w:rPr>
              <w:t>5</w:t>
            </w:r>
            <w:r>
              <w:rPr>
                <w:rFonts w:eastAsia="宋体" w:cs="Times New Roman"/>
                <w:kern w:val="0"/>
                <w:szCs w:val="20"/>
              </w:rPr>
              <w:t>）严格操作规程，加强施工机械管理，降低人为噪声影响。不合理施工作业是产生人为噪声的主要原因，如钢筋材料装卸及其安装过程产生的金属撞击声和落料声等均会产生较大距离的声环境影响，因此要杜绝人为敲打、野蛮装卸现象，禁止建筑物料、土石方清运车辆进出工地高速行驶和鸣笛等</w:t>
            </w:r>
            <w:r>
              <w:rPr>
                <w:rFonts w:hint="eastAsia" w:eastAsia="宋体" w:cs="Times New Roman"/>
                <w:kern w:val="0"/>
                <w:szCs w:val="20"/>
              </w:rPr>
              <w:t>。</w:t>
            </w:r>
          </w:p>
          <w:p>
            <w:pPr>
              <w:ind w:firstLine="480" w:firstLineChars="200"/>
              <w:rPr>
                <w:rFonts w:eastAsia="宋体" w:cs="Times New Roman"/>
                <w:kern w:val="0"/>
                <w:szCs w:val="20"/>
              </w:rPr>
            </w:pPr>
            <w:r>
              <w:rPr>
                <w:rFonts w:eastAsia="宋体" w:cs="Times New Roman"/>
                <w:kern w:val="0"/>
                <w:szCs w:val="20"/>
              </w:rPr>
              <w:t>（</w:t>
            </w:r>
            <w:r>
              <w:rPr>
                <w:rFonts w:hint="eastAsia" w:eastAsia="宋体" w:cs="Times New Roman"/>
                <w:kern w:val="0"/>
                <w:szCs w:val="20"/>
              </w:rPr>
              <w:t>6</w:t>
            </w:r>
            <w:r>
              <w:rPr>
                <w:rFonts w:eastAsia="宋体" w:cs="Times New Roman"/>
                <w:kern w:val="0"/>
                <w:szCs w:val="20"/>
              </w:rPr>
              <w:t>）强化项目施工期间环境管理，提高施工机械化程度，缩短施工工期。严格控制施工车辆运行时段，避免进出场地造成道路堵塞；经过敏感点时，车辆应限速行驶、禁鸣喇叭，减少交通噪声对沿途敏感点的影响</w:t>
            </w:r>
            <w:r>
              <w:rPr>
                <w:rFonts w:hint="eastAsia" w:eastAsia="宋体" w:cs="Times New Roman"/>
                <w:kern w:val="0"/>
                <w:szCs w:val="20"/>
              </w:rPr>
              <w:t>。</w:t>
            </w:r>
          </w:p>
          <w:p>
            <w:pPr>
              <w:ind w:firstLine="480" w:firstLineChars="200"/>
              <w:rPr>
                <w:rFonts w:eastAsia="宋体" w:cs="Times New Roman"/>
                <w:kern w:val="0"/>
                <w:szCs w:val="20"/>
              </w:rPr>
            </w:pPr>
            <w:r>
              <w:rPr>
                <w:rFonts w:eastAsia="宋体" w:cs="Times New Roman"/>
                <w:kern w:val="0"/>
                <w:szCs w:val="20"/>
              </w:rPr>
              <w:t>（</w:t>
            </w:r>
            <w:r>
              <w:rPr>
                <w:rFonts w:hint="eastAsia" w:eastAsia="宋体" w:cs="Times New Roman"/>
                <w:kern w:val="0"/>
                <w:szCs w:val="20"/>
              </w:rPr>
              <w:t>7</w:t>
            </w:r>
            <w:r>
              <w:rPr>
                <w:rFonts w:eastAsia="宋体" w:cs="Times New Roman"/>
                <w:kern w:val="0"/>
                <w:szCs w:val="20"/>
              </w:rPr>
              <w:t>）合理安排运输路线，尽量减少夜间运输量；适当限制大型载重车车速，尤其进入乡村等声敏感区时应限速禁鸣；对运输车辆定期维修、养护。</w:t>
            </w:r>
          </w:p>
          <w:p>
            <w:pPr>
              <w:rPr>
                <w:rFonts w:eastAsia="宋体" w:cs="Times New Roman"/>
                <w:b/>
                <w:kern w:val="0"/>
                <w:szCs w:val="20"/>
              </w:rPr>
            </w:pPr>
            <w:r>
              <w:rPr>
                <w:rFonts w:eastAsia="宋体" w:cs="Times New Roman"/>
                <w:b/>
                <w:kern w:val="0"/>
                <w:szCs w:val="24"/>
              </w:rPr>
              <w:t>（四）固废</w:t>
            </w:r>
            <w:r>
              <w:rPr>
                <w:rFonts w:eastAsia="宋体" w:cs="Times New Roman"/>
                <w:b/>
                <w:bCs/>
                <w:kern w:val="0"/>
                <w:szCs w:val="24"/>
              </w:rPr>
              <w:t>影响保护措施</w:t>
            </w:r>
          </w:p>
          <w:p>
            <w:pPr>
              <w:ind w:firstLine="480" w:firstLineChars="200"/>
              <w:rPr>
                <w:rFonts w:eastAsia="宋体" w:cs="Times New Roman"/>
                <w:kern w:val="0"/>
                <w:szCs w:val="20"/>
              </w:rPr>
            </w:pPr>
            <w:r>
              <w:rPr>
                <w:rFonts w:eastAsia="宋体" w:cs="Times New Roman"/>
                <w:kern w:val="0"/>
                <w:szCs w:val="24"/>
              </w:rPr>
              <w:t>施工固体废物主要包括施工产生的建筑垃圾和生活垃圾。</w:t>
            </w:r>
            <w:r>
              <w:rPr>
                <w:rFonts w:hint="eastAsia" w:eastAsia="宋体" w:cs="Times New Roman"/>
                <w:kern w:val="0"/>
                <w:szCs w:val="20"/>
              </w:rPr>
              <w:t>本项目地势总体较为平整，且项目不进行大开挖，仅对场内进行场地平整，故土石方挖填方量较小。场地内可实现挖填平衡，不产生余方。</w:t>
            </w:r>
          </w:p>
          <w:p>
            <w:pPr>
              <w:ind w:firstLine="480" w:firstLineChars="200"/>
              <w:rPr>
                <w:rFonts w:eastAsia="宋体" w:cs="Times New Roman"/>
                <w:kern w:val="0"/>
                <w:szCs w:val="24"/>
              </w:rPr>
            </w:pPr>
            <w:r>
              <w:rPr>
                <w:rFonts w:eastAsia="宋体" w:cs="Times New Roman"/>
                <w:kern w:val="0"/>
                <w:szCs w:val="24"/>
              </w:rPr>
              <w:t>建筑垃圾主要来自于施工作业</w:t>
            </w:r>
            <w:r>
              <w:rPr>
                <w:rFonts w:hint="eastAsia" w:eastAsia="宋体" w:cs="Times New Roman"/>
                <w:kern w:val="0"/>
                <w:szCs w:val="24"/>
              </w:rPr>
              <w:t>中装修装饰工程</w:t>
            </w:r>
            <w:r>
              <w:rPr>
                <w:rFonts w:eastAsia="宋体" w:cs="Times New Roman"/>
                <w:kern w:val="0"/>
                <w:szCs w:val="24"/>
              </w:rPr>
              <w:t>，包括废弃</w:t>
            </w:r>
            <w:r>
              <w:rPr>
                <w:rFonts w:hint="eastAsia" w:eastAsia="宋体" w:cs="Times New Roman"/>
                <w:kern w:val="0"/>
                <w:szCs w:val="24"/>
              </w:rPr>
              <w:t>装修材料</w:t>
            </w:r>
            <w:r>
              <w:rPr>
                <w:rFonts w:eastAsia="宋体" w:cs="Times New Roman"/>
                <w:kern w:val="0"/>
                <w:szCs w:val="24"/>
              </w:rPr>
              <w:t>、废金属等废料，</w:t>
            </w:r>
            <w:r>
              <w:rPr>
                <w:rFonts w:hint="eastAsia" w:eastAsia="宋体" w:cs="Times New Roman"/>
                <w:kern w:val="0"/>
                <w:szCs w:val="24"/>
              </w:rPr>
              <w:t>施工期内建筑垃圾产生量约为1</w:t>
            </w:r>
            <w:r>
              <w:rPr>
                <w:rFonts w:eastAsia="宋体" w:cs="Times New Roman"/>
                <w:kern w:val="0"/>
                <w:szCs w:val="24"/>
              </w:rPr>
              <w:t>.5t</w:t>
            </w:r>
            <w:r>
              <w:rPr>
                <w:rFonts w:hint="eastAsia" w:eastAsia="宋体" w:cs="Times New Roman"/>
                <w:kern w:val="0"/>
                <w:szCs w:val="24"/>
              </w:rPr>
              <w:t>，</w:t>
            </w:r>
            <w:r>
              <w:rPr>
                <w:rFonts w:eastAsia="宋体" w:cs="Times New Roman"/>
                <w:kern w:val="0"/>
                <w:szCs w:val="24"/>
              </w:rPr>
              <w:t>建筑废弃材料应分类回收</w:t>
            </w:r>
            <w:r>
              <w:rPr>
                <w:rFonts w:hint="eastAsia" w:eastAsia="宋体" w:cs="Times New Roman"/>
                <w:kern w:val="0"/>
                <w:szCs w:val="24"/>
              </w:rPr>
              <w:t>，外运处置</w:t>
            </w:r>
            <w:r>
              <w:rPr>
                <w:rFonts w:eastAsia="宋体" w:cs="Times New Roman"/>
                <w:kern w:val="0"/>
                <w:szCs w:val="24"/>
              </w:rPr>
              <w:t>。</w:t>
            </w:r>
          </w:p>
          <w:p>
            <w:pPr>
              <w:ind w:firstLine="480" w:firstLineChars="200"/>
              <w:rPr>
                <w:rFonts w:eastAsia="宋体" w:cs="Times New Roman"/>
                <w:kern w:val="0"/>
                <w:szCs w:val="20"/>
              </w:rPr>
            </w:pPr>
            <w:r>
              <w:rPr>
                <w:rFonts w:eastAsia="宋体" w:cs="Times New Roman"/>
                <w:kern w:val="0"/>
                <w:szCs w:val="24"/>
              </w:rPr>
              <w:t>施工人员不在项目区住宿，施工期生活垃圾产生量为7.5kg/d。生活垃圾不得随意丢弃，经统一分类收集后交环卫部门统一处理。</w:t>
            </w:r>
          </w:p>
          <w:p>
            <w:pPr>
              <w:ind w:firstLine="480" w:firstLineChars="200"/>
              <w:rPr>
                <w:rFonts w:eastAsia="宋体" w:cs="Times New Roman"/>
                <w:kern w:val="0"/>
                <w:szCs w:val="24"/>
              </w:rPr>
            </w:pPr>
            <w:r>
              <w:rPr>
                <w:rFonts w:eastAsia="宋体" w:cs="Times New Roman"/>
                <w:kern w:val="0"/>
                <w:szCs w:val="24"/>
              </w:rPr>
              <w:t>采取以上措施，施工期固体废物可以得到妥善处置，对环境影响较小，措施可行。</w:t>
            </w:r>
          </w:p>
          <w:p>
            <w:pPr>
              <w:pStyle w:val="2"/>
              <w:outlineLvl w:val="1"/>
            </w:pPr>
          </w:p>
          <w:p>
            <w:pPr>
              <w:rPr>
                <w:rFonts w:eastAsia="宋体" w:cs="Times New Roman"/>
              </w:rPr>
            </w:pPr>
          </w:p>
          <w:p>
            <w:pPr>
              <w:pStyle w:val="2"/>
              <w:outlineLvl w:val="1"/>
            </w:pPr>
          </w:p>
          <w:p>
            <w:pPr>
              <w:rPr>
                <w:rFonts w:eastAsia="宋体" w:cs="Times New Roman"/>
              </w:rPr>
            </w:pPr>
          </w:p>
          <w:p>
            <w:pPr>
              <w:pStyle w:val="2"/>
              <w:outlineLvl w:val="1"/>
            </w:pPr>
          </w:p>
          <w:p>
            <w:pPr>
              <w:rPr>
                <w:rFonts w:eastAsia="宋体" w:cs="Times New Roman"/>
              </w:rPr>
            </w:pPr>
          </w:p>
          <w:p>
            <w:pPr>
              <w:pStyle w:val="2"/>
              <w:outlineLvl w:val="1"/>
            </w:pPr>
          </w:p>
          <w:p>
            <w:pPr>
              <w:rPr>
                <w:rFonts w:eastAsia="宋体" w:cs="Times New Roman"/>
              </w:rPr>
            </w:pPr>
          </w:p>
          <w:p>
            <w:pPr>
              <w:pStyle w:val="2"/>
              <w:outlineLvl w:val="1"/>
              <w:rPr>
                <w:rFonts w:eastAsia="宋体" w:cs="Times New Roman"/>
              </w:rPr>
            </w:pPr>
          </w:p>
          <w:p>
            <w:pPr>
              <w:rPr>
                <w:rFonts w:eastAsia="宋体" w:cs="Times New Roman"/>
              </w:rPr>
            </w:pPr>
          </w:p>
          <w:p>
            <w:pPr>
              <w:pStyle w:val="2"/>
              <w:outlineLvl w:val="1"/>
            </w:pPr>
          </w:p>
          <w:p>
            <w:pPr>
              <w:pStyle w:val="2"/>
              <w:outlineLvl w:val="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762" w:type="dxa"/>
            <w:vAlign w:val="center"/>
          </w:tcPr>
          <w:p>
            <w:pPr>
              <w:jc w:val="center"/>
              <w:rPr>
                <w:rFonts w:eastAsia="宋体" w:cs="Times New Roman"/>
                <w:b/>
                <w:bCs/>
                <w:kern w:val="0"/>
                <w:szCs w:val="20"/>
              </w:rPr>
            </w:pPr>
            <w:r>
              <w:rPr>
                <w:rFonts w:hint="eastAsia" w:eastAsia="宋体" w:cs="Times New Roman"/>
                <w:b/>
                <w:bCs/>
                <w:kern w:val="0"/>
                <w:szCs w:val="20"/>
              </w:rPr>
              <w:t>运营期环境影响和保护措施</w:t>
            </w:r>
          </w:p>
        </w:tc>
        <w:tc>
          <w:tcPr>
            <w:tcW w:w="7760" w:type="dxa"/>
          </w:tcPr>
          <w:p>
            <w:pPr>
              <w:adjustRightInd w:val="0"/>
              <w:rPr>
                <w:rFonts w:eastAsia="宋体" w:cs="Times New Roman"/>
                <w:b/>
                <w:kern w:val="0"/>
                <w:szCs w:val="20"/>
              </w:rPr>
            </w:pPr>
            <w:r>
              <w:rPr>
                <w:rFonts w:eastAsia="宋体" w:cs="Times New Roman"/>
                <w:b/>
                <w:kern w:val="0"/>
                <w:szCs w:val="20"/>
              </w:rPr>
              <w:t>（一）大气环境影响分析</w:t>
            </w:r>
          </w:p>
          <w:p>
            <w:pPr>
              <w:ind w:firstLine="482" w:firstLineChars="200"/>
              <w:contextualSpacing/>
              <w:rPr>
                <w:rFonts w:eastAsia="宋体" w:cs="Times New Roman"/>
                <w:b/>
                <w:bCs/>
                <w:kern w:val="0"/>
                <w:szCs w:val="20"/>
              </w:rPr>
            </w:pPr>
            <w:r>
              <w:rPr>
                <w:rFonts w:eastAsia="宋体" w:cs="Times New Roman"/>
                <w:b/>
                <w:bCs/>
                <w:kern w:val="0"/>
                <w:szCs w:val="20"/>
              </w:rPr>
              <w:t>1、废气污染物源强核算</w:t>
            </w:r>
          </w:p>
          <w:p>
            <w:pPr>
              <w:ind w:firstLine="480" w:firstLineChars="200"/>
              <w:rPr>
                <w:rFonts w:eastAsia="宋体" w:cs="Times New Roman"/>
                <w:kern w:val="0"/>
                <w:szCs w:val="20"/>
              </w:rPr>
            </w:pPr>
            <w:r>
              <w:rPr>
                <w:rFonts w:hint="eastAsia" w:eastAsia="宋体" w:cs="Times New Roman"/>
                <w:kern w:val="0"/>
                <w:szCs w:val="20"/>
              </w:rPr>
              <w:t>本项目运营期废气产生环节主要为有粉尘，本项目废气治理与排放情况见表4</w:t>
            </w:r>
            <w:r>
              <w:rPr>
                <w:rFonts w:eastAsia="宋体" w:cs="Times New Roman"/>
                <w:kern w:val="0"/>
                <w:szCs w:val="20"/>
              </w:rPr>
              <w:t>-1</w:t>
            </w:r>
            <w:r>
              <w:rPr>
                <w:rFonts w:hint="eastAsia" w:eastAsia="宋体" w:cs="Times New Roman"/>
                <w:kern w:val="0"/>
                <w:szCs w:val="20"/>
              </w:rPr>
              <w:t>。</w:t>
            </w:r>
          </w:p>
          <w:p>
            <w:pPr>
              <w:pStyle w:val="28"/>
              <w:rPr>
                <w:sz w:val="20"/>
                <w:szCs w:val="20"/>
              </w:rPr>
            </w:pPr>
            <w:r>
              <w:rPr>
                <w:rFonts w:hint="eastAsia"/>
                <w:sz w:val="20"/>
                <w:szCs w:val="20"/>
              </w:rPr>
              <w:t>表4</w:t>
            </w:r>
            <w:r>
              <w:rPr>
                <w:sz w:val="20"/>
                <w:szCs w:val="20"/>
              </w:rPr>
              <w:t xml:space="preserve">-1  </w:t>
            </w:r>
            <w:r>
              <w:rPr>
                <w:rFonts w:hint="eastAsia"/>
                <w:sz w:val="20"/>
                <w:szCs w:val="20"/>
              </w:rPr>
              <w:t>项目废气产生与排放情况一览表</w:t>
            </w:r>
          </w:p>
          <w:tbl>
            <w:tblPr>
              <w:tblStyle w:val="21"/>
              <w:tblW w:w="5000" w:type="pct"/>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74"/>
              <w:gridCol w:w="797"/>
              <w:gridCol w:w="690"/>
              <w:gridCol w:w="691"/>
              <w:gridCol w:w="745"/>
              <w:gridCol w:w="951"/>
              <w:gridCol w:w="724"/>
              <w:gridCol w:w="759"/>
              <w:gridCol w:w="777"/>
              <w:gridCol w:w="736"/>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PrEx>
              <w:tc>
                <w:tcPr>
                  <w:tcW w:w="447" w:type="pct"/>
                  <w:vAlign w:val="center"/>
                </w:tcPr>
                <w:p>
                  <w:pPr>
                    <w:pStyle w:val="27"/>
                    <w:jc w:val="center"/>
                    <w:rPr>
                      <w:rFonts w:eastAsia="宋体" w:cs="Times New Roman"/>
                      <w:kern w:val="0"/>
                      <w:szCs w:val="21"/>
                    </w:rPr>
                  </w:pPr>
                  <w:r>
                    <w:rPr>
                      <w:rFonts w:hint="eastAsia" w:eastAsia="宋体" w:cs="Times New Roman"/>
                      <w:kern w:val="0"/>
                      <w:szCs w:val="21"/>
                    </w:rPr>
                    <w:t>产污环节</w:t>
                  </w:r>
                </w:p>
              </w:tc>
              <w:tc>
                <w:tcPr>
                  <w:tcW w:w="528" w:type="pct"/>
                  <w:vAlign w:val="center"/>
                </w:tcPr>
                <w:p>
                  <w:pPr>
                    <w:pStyle w:val="27"/>
                    <w:jc w:val="center"/>
                    <w:rPr>
                      <w:rFonts w:eastAsia="宋体" w:cs="Times New Roman"/>
                      <w:kern w:val="0"/>
                      <w:szCs w:val="21"/>
                    </w:rPr>
                  </w:pPr>
                  <w:r>
                    <w:rPr>
                      <w:rFonts w:hint="eastAsia" w:eastAsia="宋体" w:cs="Times New Roman"/>
                      <w:kern w:val="0"/>
                      <w:szCs w:val="21"/>
                    </w:rPr>
                    <w:t>污染因子</w:t>
                  </w: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年产</w:t>
                  </w:r>
                </w:p>
                <w:p>
                  <w:pPr>
                    <w:pStyle w:val="27"/>
                    <w:jc w:val="center"/>
                    <w:rPr>
                      <w:rFonts w:eastAsia="宋体" w:cs="Times New Roman"/>
                      <w:kern w:val="0"/>
                      <w:szCs w:val="21"/>
                    </w:rPr>
                  </w:pPr>
                  <w:r>
                    <w:rPr>
                      <w:rFonts w:hint="eastAsia" w:eastAsia="宋体" w:cs="Times New Roman"/>
                      <w:kern w:val="0"/>
                      <w:szCs w:val="21"/>
                    </w:rPr>
                    <w:t>生量t/a</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排放形式</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治理工艺</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治理措施</w:t>
                  </w:r>
                </w:p>
              </w:tc>
              <w:tc>
                <w:tcPr>
                  <w:tcW w:w="480" w:type="pct"/>
                  <w:vAlign w:val="center"/>
                </w:tcPr>
                <w:p>
                  <w:pPr>
                    <w:pStyle w:val="27"/>
                    <w:jc w:val="center"/>
                    <w:rPr>
                      <w:rFonts w:eastAsia="宋体" w:cs="Times New Roman"/>
                      <w:kern w:val="0"/>
                      <w:szCs w:val="21"/>
                    </w:rPr>
                  </w:pPr>
                  <w:r>
                    <w:rPr>
                      <w:rFonts w:hint="eastAsia" w:eastAsia="宋体" w:cs="Times New Roman"/>
                      <w:kern w:val="0"/>
                      <w:szCs w:val="21"/>
                    </w:rPr>
                    <w:t>收集效率</w:t>
                  </w:r>
                </w:p>
              </w:tc>
              <w:tc>
                <w:tcPr>
                  <w:tcW w:w="503" w:type="pct"/>
                  <w:vAlign w:val="center"/>
                </w:tcPr>
                <w:p>
                  <w:pPr>
                    <w:pStyle w:val="27"/>
                    <w:jc w:val="center"/>
                    <w:rPr>
                      <w:rFonts w:eastAsia="宋体" w:cs="Times New Roman"/>
                      <w:kern w:val="0"/>
                      <w:szCs w:val="21"/>
                    </w:rPr>
                  </w:pPr>
                  <w:r>
                    <w:rPr>
                      <w:rFonts w:hint="eastAsia" w:eastAsia="宋体" w:cs="Times New Roman"/>
                      <w:kern w:val="0"/>
                      <w:szCs w:val="21"/>
                    </w:rPr>
                    <w:t>处理</w:t>
                  </w:r>
                </w:p>
                <w:p>
                  <w:pPr>
                    <w:pStyle w:val="27"/>
                    <w:jc w:val="center"/>
                    <w:rPr>
                      <w:rFonts w:eastAsia="宋体" w:cs="Times New Roman"/>
                      <w:kern w:val="0"/>
                      <w:szCs w:val="21"/>
                    </w:rPr>
                  </w:pPr>
                  <w:r>
                    <w:rPr>
                      <w:rFonts w:hint="eastAsia" w:eastAsia="宋体" w:cs="Times New Roman"/>
                      <w:kern w:val="0"/>
                      <w:szCs w:val="21"/>
                    </w:rPr>
                    <w:t>效率</w:t>
                  </w:r>
                </w:p>
              </w:tc>
              <w:tc>
                <w:tcPr>
                  <w:tcW w:w="515" w:type="pct"/>
                  <w:vAlign w:val="center"/>
                </w:tcPr>
                <w:p>
                  <w:pPr>
                    <w:pStyle w:val="27"/>
                    <w:jc w:val="center"/>
                    <w:rPr>
                      <w:rFonts w:eastAsia="宋体" w:cs="Times New Roman"/>
                      <w:kern w:val="0"/>
                      <w:szCs w:val="21"/>
                    </w:rPr>
                  </w:pPr>
                  <w:r>
                    <w:rPr>
                      <w:rFonts w:hint="eastAsia" w:eastAsia="宋体" w:cs="Times New Roman"/>
                      <w:kern w:val="0"/>
                      <w:szCs w:val="21"/>
                    </w:rPr>
                    <w:t>排放浓度</w:t>
                  </w:r>
                </w:p>
              </w:tc>
              <w:tc>
                <w:tcPr>
                  <w:tcW w:w="488" w:type="pct"/>
                  <w:vAlign w:val="center"/>
                </w:tcPr>
                <w:p>
                  <w:pPr>
                    <w:pStyle w:val="27"/>
                    <w:jc w:val="center"/>
                    <w:rPr>
                      <w:rFonts w:eastAsia="宋体" w:cs="Times New Roman"/>
                      <w:kern w:val="0"/>
                      <w:szCs w:val="21"/>
                    </w:rPr>
                  </w:pPr>
                  <w:r>
                    <w:rPr>
                      <w:rFonts w:hint="eastAsia" w:eastAsia="宋体" w:cs="Times New Roman"/>
                      <w:kern w:val="0"/>
                      <w:szCs w:val="21"/>
                    </w:rPr>
                    <w:t>排放</w:t>
                  </w:r>
                </w:p>
                <w:p>
                  <w:pPr>
                    <w:pStyle w:val="27"/>
                    <w:jc w:val="center"/>
                    <w:rPr>
                      <w:rFonts w:eastAsia="宋体" w:cs="Times New Roman"/>
                      <w:kern w:val="0"/>
                      <w:szCs w:val="21"/>
                    </w:rPr>
                  </w:pPr>
                  <w:r>
                    <w:rPr>
                      <w:rFonts w:hint="eastAsia" w:eastAsia="宋体" w:cs="Times New Roman"/>
                      <w:kern w:val="0"/>
                      <w:szCs w:val="21"/>
                    </w:rPr>
                    <w:t>量</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7" w:type="pct"/>
                  <w:vAlign w:val="center"/>
                </w:tcPr>
                <w:p>
                  <w:pPr>
                    <w:pStyle w:val="27"/>
                    <w:jc w:val="center"/>
                    <w:rPr>
                      <w:rFonts w:eastAsia="宋体" w:cs="Times New Roman"/>
                      <w:kern w:val="0"/>
                      <w:szCs w:val="21"/>
                    </w:rPr>
                  </w:pPr>
                  <w:r>
                    <w:rPr>
                      <w:rFonts w:hint="eastAsia" w:eastAsia="宋体" w:cs="Times New Roman"/>
                      <w:kern w:val="0"/>
                      <w:szCs w:val="21"/>
                    </w:rPr>
                    <w:t>道路运输</w:t>
                  </w:r>
                </w:p>
              </w:tc>
              <w:tc>
                <w:tcPr>
                  <w:tcW w:w="528" w:type="pct"/>
                  <w:vAlign w:val="center"/>
                </w:tcPr>
                <w:p>
                  <w:pPr>
                    <w:pStyle w:val="27"/>
                    <w:jc w:val="center"/>
                    <w:rPr>
                      <w:rFonts w:eastAsia="宋体" w:cs="Times New Roman"/>
                      <w:kern w:val="0"/>
                      <w:szCs w:val="21"/>
                    </w:rPr>
                  </w:pPr>
                  <w:r>
                    <w:rPr>
                      <w:rFonts w:hint="eastAsia" w:eastAsia="宋体" w:cs="Times New Roman"/>
                      <w:kern w:val="0"/>
                      <w:szCs w:val="21"/>
                    </w:rPr>
                    <w:t>颗粒物</w:t>
                  </w: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0.107</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无组织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路面洒水</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路面洒水</w:t>
                  </w:r>
                </w:p>
              </w:tc>
              <w:tc>
                <w:tcPr>
                  <w:tcW w:w="480" w:type="pct"/>
                  <w:vAlign w:val="center"/>
                </w:tcPr>
                <w:p>
                  <w:pPr>
                    <w:pStyle w:val="27"/>
                    <w:jc w:val="center"/>
                    <w:rPr>
                      <w:rFonts w:eastAsia="宋体" w:cs="Times New Roman"/>
                      <w:kern w:val="0"/>
                      <w:szCs w:val="21"/>
                    </w:rPr>
                  </w:pPr>
                  <w:r>
                    <w:rPr>
                      <w:rFonts w:hint="eastAsia" w:eastAsia="宋体" w:cs="Times New Roman"/>
                      <w:kern w:val="0"/>
                      <w:szCs w:val="21"/>
                    </w:rPr>
                    <w:t>/</w:t>
                  </w:r>
                </w:p>
              </w:tc>
              <w:tc>
                <w:tcPr>
                  <w:tcW w:w="503" w:type="pct"/>
                  <w:vAlign w:val="center"/>
                </w:tcPr>
                <w:p>
                  <w:pPr>
                    <w:pStyle w:val="27"/>
                    <w:jc w:val="center"/>
                    <w:rPr>
                      <w:rFonts w:eastAsia="宋体" w:cs="Times New Roman"/>
                      <w:kern w:val="0"/>
                      <w:szCs w:val="21"/>
                    </w:rPr>
                  </w:pPr>
                  <w:r>
                    <w:rPr>
                      <w:rFonts w:hint="eastAsia" w:eastAsia="宋体" w:cs="Times New Roman"/>
                      <w:kern w:val="0"/>
                      <w:szCs w:val="21"/>
                    </w:rPr>
                    <w:t>/</w:t>
                  </w:r>
                </w:p>
              </w:tc>
              <w:tc>
                <w:tcPr>
                  <w:tcW w:w="515" w:type="pct"/>
                  <w:vAlign w:val="center"/>
                </w:tcPr>
                <w:p>
                  <w:pPr>
                    <w:pStyle w:val="27"/>
                    <w:jc w:val="center"/>
                    <w:rPr>
                      <w:rFonts w:eastAsia="宋体" w:cs="Times New Roman"/>
                      <w:kern w:val="0"/>
                      <w:szCs w:val="21"/>
                    </w:rPr>
                  </w:pPr>
                  <w:r>
                    <w:rPr>
                      <w:rFonts w:hint="eastAsia" w:eastAsia="宋体" w:cs="Times New Roman"/>
                      <w:kern w:val="0"/>
                      <w:szCs w:val="21"/>
                    </w:rPr>
                    <w:t>/</w:t>
                  </w:r>
                </w:p>
              </w:tc>
              <w:tc>
                <w:tcPr>
                  <w:tcW w:w="488" w:type="pct"/>
                  <w:vAlign w:val="center"/>
                </w:tcPr>
                <w:p>
                  <w:pPr>
                    <w:pStyle w:val="27"/>
                    <w:jc w:val="center"/>
                    <w:rPr>
                      <w:rFonts w:eastAsia="宋体" w:cs="Times New Roman"/>
                      <w:kern w:val="0"/>
                      <w:szCs w:val="21"/>
                    </w:rPr>
                  </w:pPr>
                  <w:r>
                    <w:rPr>
                      <w:rFonts w:hint="eastAsia" w:eastAsia="宋体" w:cs="Times New Roman"/>
                      <w:kern w:val="0"/>
                      <w:szCs w:val="21"/>
                    </w:rPr>
                    <w:t>0.107</w:t>
                  </w:r>
                </w:p>
                <w:p>
                  <w:pPr>
                    <w:pStyle w:val="27"/>
                    <w:jc w:val="center"/>
                    <w:rPr>
                      <w:rFonts w:eastAsia="宋体" w:cs="Times New Roman"/>
                      <w:kern w:val="0"/>
                      <w:szCs w:val="21"/>
                    </w:rPr>
                  </w:pPr>
                  <w:r>
                    <w:rPr>
                      <w:rFonts w:hint="eastAsia" w:eastAsia="宋体" w:cs="Times New Roman"/>
                      <w:kern w:val="0"/>
                      <w:szCs w:val="21"/>
                    </w:rPr>
                    <w:t>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7" w:type="pct"/>
                  <w:vAlign w:val="center"/>
                </w:tcPr>
                <w:p>
                  <w:pPr>
                    <w:pStyle w:val="27"/>
                    <w:jc w:val="center"/>
                    <w:rPr>
                      <w:rFonts w:eastAsia="宋体" w:cs="Times New Roman"/>
                      <w:kern w:val="0"/>
                      <w:szCs w:val="21"/>
                    </w:rPr>
                  </w:pPr>
                  <w:r>
                    <w:rPr>
                      <w:rFonts w:hint="eastAsia" w:eastAsia="宋体" w:cs="Times New Roman"/>
                      <w:kern w:val="0"/>
                      <w:szCs w:val="21"/>
                    </w:rPr>
                    <w:t>物料堆场装卸</w:t>
                  </w:r>
                </w:p>
              </w:tc>
              <w:tc>
                <w:tcPr>
                  <w:tcW w:w="528" w:type="pct"/>
                  <w:vAlign w:val="center"/>
                </w:tcPr>
                <w:p>
                  <w:pPr>
                    <w:spacing w:line="240" w:lineRule="auto"/>
                    <w:jc w:val="center"/>
                    <w:rPr>
                      <w:rFonts w:eastAsia="宋体" w:cs="Times New Roman"/>
                      <w:kern w:val="0"/>
                      <w:sz w:val="21"/>
                      <w:szCs w:val="21"/>
                    </w:rPr>
                  </w:pPr>
                  <w:r>
                    <w:rPr>
                      <w:rFonts w:hint="eastAsia" w:eastAsia="宋体" w:cs="Times New Roman"/>
                      <w:kern w:val="0"/>
                      <w:sz w:val="21"/>
                      <w:szCs w:val="21"/>
                    </w:rPr>
                    <w:t>颗粒物</w:t>
                  </w: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206.1</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无组织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覆盖+喷雾</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覆盖+喷雾</w:t>
                  </w:r>
                </w:p>
              </w:tc>
              <w:tc>
                <w:tcPr>
                  <w:tcW w:w="480" w:type="pct"/>
                  <w:vAlign w:val="center"/>
                </w:tcPr>
                <w:p>
                  <w:pPr>
                    <w:pStyle w:val="27"/>
                    <w:jc w:val="center"/>
                    <w:rPr>
                      <w:rFonts w:eastAsia="宋体" w:cs="Times New Roman"/>
                      <w:kern w:val="0"/>
                      <w:szCs w:val="21"/>
                    </w:rPr>
                  </w:pPr>
                  <w:r>
                    <w:rPr>
                      <w:rFonts w:hint="eastAsia" w:eastAsia="宋体" w:cs="Times New Roman"/>
                      <w:kern w:val="0"/>
                      <w:szCs w:val="21"/>
                    </w:rPr>
                    <w:t>/</w:t>
                  </w:r>
                </w:p>
              </w:tc>
              <w:tc>
                <w:tcPr>
                  <w:tcW w:w="503" w:type="pct"/>
                  <w:vAlign w:val="center"/>
                </w:tcPr>
                <w:p>
                  <w:pPr>
                    <w:pStyle w:val="27"/>
                    <w:jc w:val="center"/>
                    <w:rPr>
                      <w:rFonts w:eastAsia="宋体" w:cs="Times New Roman"/>
                      <w:kern w:val="0"/>
                      <w:szCs w:val="21"/>
                    </w:rPr>
                  </w:pPr>
                  <w:r>
                    <w:rPr>
                      <w:rFonts w:hint="eastAsia" w:eastAsia="宋体" w:cs="Times New Roman"/>
                      <w:kern w:val="0"/>
                      <w:szCs w:val="21"/>
                    </w:rPr>
                    <w:t>9</w:t>
                  </w:r>
                  <w:r>
                    <w:rPr>
                      <w:rFonts w:eastAsia="宋体" w:cs="Times New Roman"/>
                      <w:kern w:val="0"/>
                      <w:szCs w:val="21"/>
                    </w:rPr>
                    <w:t>9</w:t>
                  </w:r>
                  <w:r>
                    <w:rPr>
                      <w:rFonts w:hint="eastAsia" w:eastAsia="宋体" w:cs="Times New Roman"/>
                      <w:kern w:val="0"/>
                      <w:szCs w:val="21"/>
                    </w:rPr>
                    <w:t>%</w:t>
                  </w:r>
                </w:p>
              </w:tc>
              <w:tc>
                <w:tcPr>
                  <w:tcW w:w="515" w:type="pct"/>
                  <w:vAlign w:val="center"/>
                </w:tcPr>
                <w:p>
                  <w:pPr>
                    <w:pStyle w:val="27"/>
                    <w:jc w:val="center"/>
                    <w:rPr>
                      <w:rFonts w:eastAsia="宋体" w:cs="Times New Roman"/>
                      <w:kern w:val="0"/>
                      <w:szCs w:val="21"/>
                    </w:rPr>
                  </w:pPr>
                  <w:r>
                    <w:rPr>
                      <w:rFonts w:hint="eastAsia" w:eastAsia="宋体" w:cs="Times New Roman"/>
                      <w:kern w:val="0"/>
                      <w:szCs w:val="21"/>
                    </w:rPr>
                    <w:t>/</w:t>
                  </w:r>
                </w:p>
              </w:tc>
              <w:tc>
                <w:tcPr>
                  <w:tcW w:w="488" w:type="pct"/>
                  <w:vAlign w:val="center"/>
                </w:tcPr>
                <w:p>
                  <w:pPr>
                    <w:pStyle w:val="27"/>
                    <w:jc w:val="center"/>
                    <w:rPr>
                      <w:rFonts w:eastAsia="宋体" w:cs="Times New Roman"/>
                      <w:kern w:val="0"/>
                      <w:szCs w:val="21"/>
                    </w:rPr>
                  </w:pPr>
                  <w:r>
                    <w:rPr>
                      <w:rFonts w:hint="eastAsia" w:eastAsia="宋体" w:cs="Times New Roman"/>
                      <w:kern w:val="0"/>
                      <w:szCs w:val="21"/>
                    </w:rPr>
                    <w:t>2.06/a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7" w:type="pct"/>
                  <w:vAlign w:val="center"/>
                </w:tcPr>
                <w:p>
                  <w:pPr>
                    <w:pStyle w:val="27"/>
                    <w:jc w:val="center"/>
                    <w:rPr>
                      <w:rFonts w:eastAsia="宋体" w:cs="Times New Roman"/>
                      <w:kern w:val="0"/>
                      <w:szCs w:val="21"/>
                    </w:rPr>
                  </w:pPr>
                  <w:r>
                    <w:rPr>
                      <w:rFonts w:hint="eastAsia" w:eastAsia="宋体" w:cs="Times New Roman"/>
                      <w:kern w:val="0"/>
                      <w:szCs w:val="21"/>
                    </w:rPr>
                    <w:t>上料</w:t>
                  </w:r>
                </w:p>
              </w:tc>
              <w:tc>
                <w:tcPr>
                  <w:tcW w:w="528" w:type="pct"/>
                  <w:vAlign w:val="center"/>
                </w:tcPr>
                <w:p>
                  <w:pPr>
                    <w:spacing w:line="240" w:lineRule="auto"/>
                    <w:jc w:val="center"/>
                    <w:rPr>
                      <w:rFonts w:eastAsia="宋体" w:cs="Times New Roman"/>
                      <w:kern w:val="0"/>
                      <w:sz w:val="21"/>
                      <w:szCs w:val="21"/>
                    </w:rPr>
                  </w:pPr>
                  <w:r>
                    <w:rPr>
                      <w:rFonts w:hint="eastAsia" w:eastAsia="宋体" w:cs="Times New Roman"/>
                      <w:kern w:val="0"/>
                      <w:sz w:val="21"/>
                      <w:szCs w:val="21"/>
                    </w:rPr>
                    <w:t>颗粒物</w:t>
                  </w: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0.45</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无组织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喷淋</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喷淋</w:t>
                  </w:r>
                </w:p>
              </w:tc>
              <w:tc>
                <w:tcPr>
                  <w:tcW w:w="480" w:type="pct"/>
                  <w:vAlign w:val="center"/>
                </w:tcPr>
                <w:p>
                  <w:pPr>
                    <w:pStyle w:val="27"/>
                    <w:jc w:val="center"/>
                    <w:rPr>
                      <w:rFonts w:eastAsia="宋体" w:cs="Times New Roman"/>
                      <w:kern w:val="0"/>
                      <w:szCs w:val="21"/>
                    </w:rPr>
                  </w:pPr>
                  <w:r>
                    <w:rPr>
                      <w:rFonts w:hint="eastAsia" w:eastAsia="宋体" w:cs="Times New Roman"/>
                      <w:kern w:val="0"/>
                      <w:szCs w:val="21"/>
                    </w:rPr>
                    <w:t>/</w:t>
                  </w:r>
                </w:p>
              </w:tc>
              <w:tc>
                <w:tcPr>
                  <w:tcW w:w="503" w:type="pct"/>
                  <w:vAlign w:val="center"/>
                </w:tcPr>
                <w:p>
                  <w:pPr>
                    <w:pStyle w:val="27"/>
                    <w:jc w:val="center"/>
                    <w:rPr>
                      <w:rFonts w:eastAsia="宋体" w:cs="Times New Roman"/>
                      <w:kern w:val="0"/>
                      <w:szCs w:val="21"/>
                    </w:rPr>
                  </w:pPr>
                  <w:r>
                    <w:rPr>
                      <w:rFonts w:hint="eastAsia" w:eastAsia="宋体" w:cs="Times New Roman"/>
                      <w:kern w:val="0"/>
                      <w:szCs w:val="21"/>
                    </w:rPr>
                    <w:t>90%</w:t>
                  </w:r>
                </w:p>
              </w:tc>
              <w:tc>
                <w:tcPr>
                  <w:tcW w:w="515" w:type="pct"/>
                  <w:vAlign w:val="center"/>
                </w:tcPr>
                <w:p>
                  <w:pPr>
                    <w:pStyle w:val="27"/>
                    <w:jc w:val="center"/>
                    <w:rPr>
                      <w:rFonts w:eastAsia="宋体" w:cs="Times New Roman"/>
                      <w:kern w:val="0"/>
                      <w:szCs w:val="21"/>
                    </w:rPr>
                  </w:pPr>
                  <w:r>
                    <w:rPr>
                      <w:rFonts w:hint="eastAsia" w:eastAsia="宋体" w:cs="Times New Roman"/>
                      <w:kern w:val="0"/>
                      <w:szCs w:val="21"/>
                    </w:rPr>
                    <w:t>/</w:t>
                  </w:r>
                </w:p>
              </w:tc>
              <w:tc>
                <w:tcPr>
                  <w:tcW w:w="488" w:type="pct"/>
                  <w:vAlign w:val="center"/>
                </w:tcPr>
                <w:p>
                  <w:pPr>
                    <w:pStyle w:val="27"/>
                    <w:jc w:val="center"/>
                    <w:rPr>
                      <w:rFonts w:eastAsia="宋体" w:cs="Times New Roman"/>
                      <w:kern w:val="0"/>
                      <w:szCs w:val="21"/>
                    </w:rPr>
                  </w:pPr>
                  <w:r>
                    <w:rPr>
                      <w:rFonts w:hint="eastAsia" w:eastAsia="宋体" w:cs="Times New Roman"/>
                      <w:kern w:val="0"/>
                      <w:szCs w:val="21"/>
                    </w:rPr>
                    <w:t>0</w:t>
                  </w:r>
                  <w:r>
                    <w:rPr>
                      <w:rFonts w:eastAsia="宋体" w:cs="Times New Roman"/>
                      <w:kern w:val="0"/>
                      <w:szCs w:val="21"/>
                    </w:rPr>
                    <w:t>.045</w:t>
                  </w:r>
                </w:p>
                <w:p>
                  <w:pPr>
                    <w:pStyle w:val="27"/>
                    <w:jc w:val="center"/>
                    <w:rPr>
                      <w:rFonts w:eastAsia="宋体" w:cs="Times New Roman"/>
                      <w:kern w:val="0"/>
                      <w:szCs w:val="21"/>
                    </w:rPr>
                  </w:pPr>
                  <w:r>
                    <w:rPr>
                      <w:rFonts w:hint="eastAsia" w:eastAsia="宋体" w:cs="Times New Roman"/>
                      <w:kern w:val="0"/>
                      <w:szCs w:val="21"/>
                    </w:rPr>
                    <w:t>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7" w:type="pct"/>
                  <w:vMerge w:val="restart"/>
                  <w:vAlign w:val="center"/>
                </w:tcPr>
                <w:p>
                  <w:pPr>
                    <w:pStyle w:val="27"/>
                    <w:jc w:val="center"/>
                    <w:rPr>
                      <w:rFonts w:eastAsia="宋体" w:cs="Times New Roman"/>
                      <w:kern w:val="0"/>
                      <w:szCs w:val="21"/>
                    </w:rPr>
                  </w:pPr>
                  <w:r>
                    <w:rPr>
                      <w:rFonts w:hint="eastAsia" w:eastAsia="宋体" w:cs="Times New Roman"/>
                      <w:kern w:val="0"/>
                      <w:szCs w:val="21"/>
                    </w:rPr>
                    <w:t>重晶石粉破碎筛分</w:t>
                  </w:r>
                </w:p>
              </w:tc>
              <w:tc>
                <w:tcPr>
                  <w:tcW w:w="528" w:type="pct"/>
                  <w:vMerge w:val="restart"/>
                  <w:vAlign w:val="center"/>
                </w:tcPr>
                <w:p>
                  <w:pPr>
                    <w:spacing w:line="240" w:lineRule="auto"/>
                    <w:jc w:val="center"/>
                    <w:rPr>
                      <w:rFonts w:eastAsia="宋体" w:cs="Times New Roman"/>
                      <w:kern w:val="0"/>
                      <w:sz w:val="21"/>
                      <w:szCs w:val="21"/>
                    </w:rPr>
                  </w:pPr>
                  <w:r>
                    <w:rPr>
                      <w:rFonts w:hint="eastAsia" w:eastAsia="宋体" w:cs="Times New Roman"/>
                      <w:kern w:val="0"/>
                      <w:sz w:val="21"/>
                      <w:szCs w:val="21"/>
                    </w:rPr>
                    <w:t>颗粒物</w:t>
                  </w:r>
                </w:p>
              </w:tc>
              <w:tc>
                <w:tcPr>
                  <w:tcW w:w="457" w:type="pct"/>
                  <w:vAlign w:val="center"/>
                </w:tcPr>
                <w:p>
                  <w:pPr>
                    <w:pStyle w:val="27"/>
                    <w:jc w:val="center"/>
                    <w:rPr>
                      <w:rFonts w:eastAsia="宋体" w:cs="Times New Roman"/>
                      <w:kern w:val="0"/>
                      <w:szCs w:val="21"/>
                    </w:rPr>
                  </w:pPr>
                  <w:r>
                    <w:rPr>
                      <w:rFonts w:eastAsia="宋体" w:cs="Times New Roman"/>
                      <w:kern w:val="0"/>
                      <w:szCs w:val="21"/>
                    </w:rPr>
                    <w:t>81.36</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有组织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袋式除尘</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袋式除尘+15m排气筒DA001</w:t>
                  </w:r>
                </w:p>
              </w:tc>
              <w:tc>
                <w:tcPr>
                  <w:tcW w:w="480" w:type="pct"/>
                  <w:vAlign w:val="center"/>
                </w:tcPr>
                <w:p>
                  <w:pPr>
                    <w:spacing w:line="240" w:lineRule="auto"/>
                    <w:jc w:val="center"/>
                    <w:rPr>
                      <w:rFonts w:eastAsia="宋体" w:cs="Times New Roman"/>
                      <w:sz w:val="21"/>
                      <w:szCs w:val="20"/>
                    </w:rPr>
                  </w:pPr>
                  <w:r>
                    <w:rPr>
                      <w:rFonts w:hint="eastAsia" w:eastAsia="宋体" w:cs="Times New Roman"/>
                      <w:sz w:val="21"/>
                      <w:szCs w:val="20"/>
                    </w:rPr>
                    <w:t>9</w:t>
                  </w:r>
                  <w:r>
                    <w:rPr>
                      <w:rFonts w:eastAsia="宋体" w:cs="Times New Roman"/>
                      <w:sz w:val="21"/>
                      <w:szCs w:val="20"/>
                    </w:rPr>
                    <w:t>0</w:t>
                  </w:r>
                  <w:r>
                    <w:rPr>
                      <w:rFonts w:hint="eastAsia" w:eastAsia="宋体" w:cs="Times New Roman"/>
                      <w:sz w:val="21"/>
                      <w:szCs w:val="20"/>
                    </w:rPr>
                    <w:t>%</w:t>
                  </w:r>
                </w:p>
              </w:tc>
              <w:tc>
                <w:tcPr>
                  <w:tcW w:w="503" w:type="pct"/>
                  <w:vAlign w:val="center"/>
                </w:tcPr>
                <w:p>
                  <w:pPr>
                    <w:spacing w:line="240" w:lineRule="auto"/>
                    <w:jc w:val="center"/>
                    <w:rPr>
                      <w:rFonts w:eastAsia="宋体" w:cs="Times New Roman"/>
                      <w:sz w:val="21"/>
                      <w:szCs w:val="20"/>
                    </w:rPr>
                  </w:pPr>
                  <w:r>
                    <w:rPr>
                      <w:rFonts w:hint="eastAsia" w:eastAsia="宋体" w:cs="Times New Roman"/>
                      <w:sz w:val="21"/>
                      <w:szCs w:val="20"/>
                    </w:rPr>
                    <w:t>99%</w:t>
                  </w:r>
                </w:p>
              </w:tc>
              <w:tc>
                <w:tcPr>
                  <w:tcW w:w="515" w:type="pct"/>
                  <w:vAlign w:val="center"/>
                </w:tcPr>
                <w:p>
                  <w:pPr>
                    <w:spacing w:line="240" w:lineRule="auto"/>
                    <w:jc w:val="center"/>
                    <w:rPr>
                      <w:rFonts w:eastAsia="宋体" w:cs="Times New Roman"/>
                      <w:sz w:val="21"/>
                      <w:szCs w:val="21"/>
                    </w:rPr>
                  </w:pPr>
                  <w:r>
                    <w:rPr>
                      <w:rFonts w:hint="eastAsia" w:eastAsia="宋体" w:cs="Times New Roman"/>
                      <w:sz w:val="21"/>
                      <w:szCs w:val="21"/>
                    </w:rPr>
                    <w:t>2</w:t>
                  </w:r>
                  <w:r>
                    <w:rPr>
                      <w:rFonts w:eastAsia="宋体" w:cs="Times New Roman"/>
                      <w:sz w:val="21"/>
                      <w:szCs w:val="21"/>
                    </w:rPr>
                    <w:t>2.6</w:t>
                  </w:r>
                </w:p>
                <w:p>
                  <w:pPr>
                    <w:spacing w:line="240" w:lineRule="auto"/>
                    <w:jc w:val="center"/>
                    <w:rPr>
                      <w:rFonts w:eastAsia="宋体" w:cs="Times New Roman"/>
                      <w:sz w:val="21"/>
                      <w:szCs w:val="21"/>
                    </w:rPr>
                  </w:pPr>
                  <w:r>
                    <w:rPr>
                      <w:rFonts w:hint="eastAsia" w:eastAsia="宋体" w:cs="Times New Roman"/>
                      <w:kern w:val="0"/>
                      <w:sz w:val="21"/>
                      <w:szCs w:val="21"/>
                    </w:rPr>
                    <w:t>mg/m</w:t>
                  </w:r>
                  <w:r>
                    <w:rPr>
                      <w:rFonts w:hint="eastAsia" w:eastAsia="宋体" w:cs="Times New Roman"/>
                      <w:kern w:val="0"/>
                      <w:sz w:val="21"/>
                      <w:szCs w:val="21"/>
                      <w:vertAlign w:val="superscript"/>
                    </w:rPr>
                    <w:t>3</w:t>
                  </w:r>
                </w:p>
              </w:tc>
              <w:tc>
                <w:tcPr>
                  <w:tcW w:w="488" w:type="pct"/>
                  <w:vAlign w:val="center"/>
                </w:tcPr>
                <w:p>
                  <w:pPr>
                    <w:pStyle w:val="27"/>
                    <w:jc w:val="center"/>
                    <w:rPr>
                      <w:rFonts w:eastAsia="宋体" w:cs="Times New Roman"/>
                      <w:kern w:val="0"/>
                      <w:szCs w:val="21"/>
                    </w:rPr>
                  </w:pPr>
                  <w:r>
                    <w:rPr>
                      <w:rFonts w:hint="eastAsia" w:eastAsia="宋体" w:cs="Times New Roman"/>
                      <w:szCs w:val="20"/>
                    </w:rPr>
                    <w:t>0.</w:t>
                  </w:r>
                  <w:r>
                    <w:rPr>
                      <w:rFonts w:eastAsia="宋体" w:cs="Times New Roman"/>
                      <w:szCs w:val="20"/>
                    </w:rPr>
                    <w:t>81</w:t>
                  </w:r>
                </w:p>
                <w:p>
                  <w:pPr>
                    <w:spacing w:line="240" w:lineRule="auto"/>
                    <w:jc w:val="center"/>
                    <w:rPr>
                      <w:rFonts w:eastAsia="宋体" w:cs="Times New Roman"/>
                      <w:sz w:val="21"/>
                      <w:szCs w:val="20"/>
                    </w:rPr>
                  </w:pPr>
                  <w:r>
                    <w:rPr>
                      <w:rFonts w:hint="eastAsia" w:eastAsia="宋体" w:cs="Times New Roman"/>
                      <w:kern w:val="0"/>
                      <w:szCs w:val="21"/>
                    </w:rPr>
                    <w:t>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7" w:type="pct"/>
                  <w:vMerge w:val="continue"/>
                  <w:vAlign w:val="center"/>
                </w:tcPr>
                <w:p>
                  <w:pPr>
                    <w:pStyle w:val="27"/>
                    <w:jc w:val="center"/>
                    <w:rPr>
                      <w:rFonts w:eastAsia="宋体" w:cs="Times New Roman"/>
                      <w:kern w:val="0"/>
                      <w:szCs w:val="21"/>
                    </w:rPr>
                  </w:pPr>
                </w:p>
              </w:tc>
              <w:tc>
                <w:tcPr>
                  <w:tcW w:w="528" w:type="pct"/>
                  <w:vMerge w:val="continue"/>
                  <w:vAlign w:val="center"/>
                </w:tcPr>
                <w:p>
                  <w:pPr>
                    <w:spacing w:line="240" w:lineRule="auto"/>
                    <w:jc w:val="center"/>
                    <w:rPr>
                      <w:rFonts w:eastAsia="宋体" w:cs="Times New Roman"/>
                      <w:kern w:val="0"/>
                      <w:sz w:val="21"/>
                      <w:szCs w:val="21"/>
                    </w:rPr>
                  </w:pP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9</w:t>
                  </w:r>
                  <w:r>
                    <w:rPr>
                      <w:rFonts w:eastAsia="宋体" w:cs="Times New Roman"/>
                      <w:kern w:val="0"/>
                      <w:szCs w:val="21"/>
                    </w:rPr>
                    <w:t>.04</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无组织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密闭+喷淋</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密闭+喷淋</w:t>
                  </w:r>
                </w:p>
              </w:tc>
              <w:tc>
                <w:tcPr>
                  <w:tcW w:w="480" w:type="pct"/>
                  <w:vAlign w:val="center"/>
                </w:tcPr>
                <w:p>
                  <w:pPr>
                    <w:spacing w:line="240" w:lineRule="auto"/>
                    <w:jc w:val="center"/>
                    <w:rPr>
                      <w:rFonts w:eastAsia="宋体" w:cs="Times New Roman"/>
                      <w:sz w:val="21"/>
                      <w:szCs w:val="20"/>
                    </w:rPr>
                  </w:pPr>
                  <w:r>
                    <w:rPr>
                      <w:rFonts w:hint="eastAsia" w:eastAsia="宋体" w:cs="Times New Roman"/>
                      <w:sz w:val="21"/>
                      <w:szCs w:val="20"/>
                    </w:rPr>
                    <w:t>/</w:t>
                  </w:r>
                </w:p>
              </w:tc>
              <w:tc>
                <w:tcPr>
                  <w:tcW w:w="503" w:type="pct"/>
                  <w:vAlign w:val="center"/>
                </w:tcPr>
                <w:p>
                  <w:pPr>
                    <w:spacing w:line="240" w:lineRule="auto"/>
                    <w:jc w:val="center"/>
                    <w:rPr>
                      <w:rFonts w:eastAsia="宋体" w:cs="Times New Roman"/>
                      <w:sz w:val="21"/>
                      <w:szCs w:val="20"/>
                    </w:rPr>
                  </w:pPr>
                  <w:r>
                    <w:rPr>
                      <w:rFonts w:hint="eastAsia" w:eastAsia="宋体" w:cs="Times New Roman"/>
                      <w:sz w:val="21"/>
                      <w:szCs w:val="20"/>
                    </w:rPr>
                    <w:t>9</w:t>
                  </w:r>
                  <w:r>
                    <w:rPr>
                      <w:rFonts w:eastAsia="宋体" w:cs="Times New Roman"/>
                      <w:sz w:val="21"/>
                      <w:szCs w:val="20"/>
                    </w:rPr>
                    <w:t>0%</w:t>
                  </w:r>
                </w:p>
              </w:tc>
              <w:tc>
                <w:tcPr>
                  <w:tcW w:w="515" w:type="pct"/>
                  <w:vAlign w:val="center"/>
                </w:tcPr>
                <w:p>
                  <w:pPr>
                    <w:spacing w:line="240" w:lineRule="auto"/>
                    <w:jc w:val="center"/>
                    <w:rPr>
                      <w:rFonts w:eastAsia="宋体" w:cs="Times New Roman"/>
                      <w:sz w:val="21"/>
                      <w:szCs w:val="21"/>
                    </w:rPr>
                  </w:pPr>
                  <w:r>
                    <w:rPr>
                      <w:rFonts w:hint="eastAsia" w:eastAsia="宋体" w:cs="Times New Roman"/>
                      <w:sz w:val="21"/>
                      <w:szCs w:val="21"/>
                    </w:rPr>
                    <w:t>/</w:t>
                  </w:r>
                </w:p>
              </w:tc>
              <w:tc>
                <w:tcPr>
                  <w:tcW w:w="488" w:type="pct"/>
                  <w:vAlign w:val="center"/>
                </w:tcPr>
                <w:p>
                  <w:pPr>
                    <w:pStyle w:val="27"/>
                    <w:jc w:val="center"/>
                    <w:rPr>
                      <w:rFonts w:eastAsia="宋体" w:cs="Times New Roman"/>
                      <w:kern w:val="0"/>
                      <w:szCs w:val="21"/>
                    </w:rPr>
                  </w:pPr>
                  <w:r>
                    <w:rPr>
                      <w:rFonts w:hint="eastAsia" w:eastAsia="宋体" w:cs="Times New Roman"/>
                      <w:szCs w:val="20"/>
                    </w:rPr>
                    <w:t>0</w:t>
                  </w:r>
                  <w:r>
                    <w:rPr>
                      <w:rFonts w:eastAsia="宋体" w:cs="Times New Roman"/>
                      <w:szCs w:val="20"/>
                    </w:rPr>
                    <w:t>.9</w:t>
                  </w:r>
                </w:p>
                <w:p>
                  <w:pPr>
                    <w:spacing w:line="240" w:lineRule="auto"/>
                    <w:jc w:val="center"/>
                    <w:rPr>
                      <w:rFonts w:eastAsia="宋体" w:cs="Times New Roman"/>
                      <w:sz w:val="21"/>
                      <w:szCs w:val="20"/>
                    </w:rPr>
                  </w:pPr>
                  <w:r>
                    <w:rPr>
                      <w:rFonts w:hint="eastAsia" w:eastAsia="宋体" w:cs="Times New Roman"/>
                      <w:kern w:val="0"/>
                      <w:szCs w:val="21"/>
                    </w:rPr>
                    <w:t>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43" w:hRule="atLeast"/>
              </w:trPr>
              <w:tc>
                <w:tcPr>
                  <w:tcW w:w="447" w:type="pct"/>
                  <w:vAlign w:val="center"/>
                </w:tcPr>
                <w:p>
                  <w:pPr>
                    <w:pStyle w:val="27"/>
                    <w:jc w:val="center"/>
                    <w:rPr>
                      <w:rFonts w:eastAsia="宋体" w:cs="Times New Roman"/>
                      <w:kern w:val="0"/>
                      <w:szCs w:val="21"/>
                    </w:rPr>
                  </w:pPr>
                  <w:r>
                    <w:rPr>
                      <w:rFonts w:hint="eastAsia" w:eastAsia="宋体" w:cs="Times New Roman"/>
                      <w:kern w:val="0"/>
                      <w:szCs w:val="21"/>
                    </w:rPr>
                    <w:t>重晶石粉研磨</w:t>
                  </w:r>
                </w:p>
              </w:tc>
              <w:tc>
                <w:tcPr>
                  <w:tcW w:w="528" w:type="pct"/>
                  <w:vAlign w:val="center"/>
                </w:tcPr>
                <w:p>
                  <w:pPr>
                    <w:spacing w:line="240" w:lineRule="auto"/>
                    <w:jc w:val="center"/>
                    <w:rPr>
                      <w:rFonts w:eastAsia="宋体" w:cs="Times New Roman"/>
                      <w:kern w:val="0"/>
                      <w:sz w:val="21"/>
                      <w:szCs w:val="21"/>
                    </w:rPr>
                  </w:pPr>
                  <w:r>
                    <w:rPr>
                      <w:rFonts w:hint="eastAsia" w:eastAsia="宋体" w:cs="Times New Roman"/>
                      <w:kern w:val="0"/>
                      <w:sz w:val="21"/>
                      <w:szCs w:val="21"/>
                    </w:rPr>
                    <w:t>颗粒物</w:t>
                  </w: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100</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有组织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袋式除尘</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袋式除尘+15m排气筒DA00</w:t>
                  </w:r>
                  <w:r>
                    <w:rPr>
                      <w:rFonts w:eastAsia="宋体" w:cs="Times New Roman"/>
                      <w:kern w:val="0"/>
                      <w:szCs w:val="21"/>
                    </w:rPr>
                    <w:t>2</w:t>
                  </w:r>
                </w:p>
              </w:tc>
              <w:tc>
                <w:tcPr>
                  <w:tcW w:w="480" w:type="pct"/>
                  <w:vAlign w:val="center"/>
                </w:tcPr>
                <w:p>
                  <w:pPr>
                    <w:spacing w:line="240" w:lineRule="auto"/>
                    <w:jc w:val="center"/>
                    <w:rPr>
                      <w:rFonts w:eastAsia="宋体" w:cs="Times New Roman"/>
                      <w:sz w:val="21"/>
                      <w:szCs w:val="20"/>
                    </w:rPr>
                  </w:pPr>
                  <w:r>
                    <w:rPr>
                      <w:rFonts w:hint="eastAsia" w:eastAsia="宋体" w:cs="Times New Roman"/>
                      <w:sz w:val="21"/>
                      <w:szCs w:val="20"/>
                    </w:rPr>
                    <w:t>1</w:t>
                  </w:r>
                  <w:r>
                    <w:rPr>
                      <w:rFonts w:eastAsia="宋体" w:cs="Times New Roman"/>
                      <w:sz w:val="21"/>
                      <w:szCs w:val="20"/>
                    </w:rPr>
                    <w:t>00%</w:t>
                  </w:r>
                </w:p>
              </w:tc>
              <w:tc>
                <w:tcPr>
                  <w:tcW w:w="503" w:type="pct"/>
                  <w:vAlign w:val="center"/>
                </w:tcPr>
                <w:p>
                  <w:pPr>
                    <w:spacing w:line="240" w:lineRule="auto"/>
                    <w:jc w:val="center"/>
                    <w:rPr>
                      <w:rFonts w:eastAsia="宋体" w:cs="Times New Roman"/>
                      <w:sz w:val="21"/>
                      <w:szCs w:val="20"/>
                    </w:rPr>
                  </w:pPr>
                  <w:r>
                    <w:rPr>
                      <w:rFonts w:hint="eastAsia" w:eastAsia="宋体" w:cs="Times New Roman"/>
                      <w:sz w:val="21"/>
                      <w:szCs w:val="20"/>
                    </w:rPr>
                    <w:t>99%</w:t>
                  </w:r>
                </w:p>
              </w:tc>
              <w:tc>
                <w:tcPr>
                  <w:tcW w:w="515" w:type="pct"/>
                  <w:vAlign w:val="center"/>
                </w:tcPr>
                <w:p>
                  <w:pPr>
                    <w:spacing w:line="240" w:lineRule="auto"/>
                    <w:jc w:val="center"/>
                    <w:rPr>
                      <w:rFonts w:eastAsia="宋体" w:cs="Times New Roman"/>
                      <w:sz w:val="21"/>
                      <w:szCs w:val="21"/>
                    </w:rPr>
                  </w:pPr>
                  <w:r>
                    <w:rPr>
                      <w:rFonts w:hint="eastAsia" w:eastAsia="宋体" w:cs="Times New Roman"/>
                      <w:sz w:val="21"/>
                      <w:szCs w:val="21"/>
                    </w:rPr>
                    <w:t>41.3</w:t>
                  </w:r>
                </w:p>
                <w:p>
                  <w:pPr>
                    <w:spacing w:line="240" w:lineRule="auto"/>
                    <w:jc w:val="center"/>
                    <w:rPr>
                      <w:rFonts w:eastAsia="宋体" w:cs="Times New Roman"/>
                      <w:sz w:val="21"/>
                      <w:szCs w:val="21"/>
                    </w:rPr>
                  </w:pPr>
                  <w:r>
                    <w:rPr>
                      <w:rFonts w:hint="eastAsia" w:eastAsia="宋体" w:cs="Times New Roman"/>
                      <w:kern w:val="0"/>
                      <w:sz w:val="21"/>
                      <w:szCs w:val="21"/>
                    </w:rPr>
                    <w:t>mg/m</w:t>
                  </w:r>
                  <w:r>
                    <w:rPr>
                      <w:rFonts w:hint="eastAsia" w:eastAsia="宋体" w:cs="Times New Roman"/>
                      <w:kern w:val="0"/>
                      <w:sz w:val="21"/>
                      <w:szCs w:val="21"/>
                      <w:vertAlign w:val="superscript"/>
                    </w:rPr>
                    <w:t>3</w:t>
                  </w:r>
                </w:p>
              </w:tc>
              <w:tc>
                <w:tcPr>
                  <w:tcW w:w="488" w:type="pct"/>
                  <w:vAlign w:val="center"/>
                </w:tcPr>
                <w:p>
                  <w:pPr>
                    <w:pStyle w:val="27"/>
                    <w:jc w:val="center"/>
                    <w:rPr>
                      <w:rFonts w:eastAsia="宋体" w:cs="Times New Roman"/>
                      <w:kern w:val="0"/>
                      <w:szCs w:val="21"/>
                    </w:rPr>
                  </w:pPr>
                  <w:r>
                    <w:rPr>
                      <w:rFonts w:hint="eastAsia" w:eastAsia="宋体" w:cs="Times New Roman"/>
                      <w:szCs w:val="20"/>
                    </w:rPr>
                    <w:t>2.38</w:t>
                  </w:r>
                </w:p>
                <w:p>
                  <w:pPr>
                    <w:spacing w:line="240" w:lineRule="auto"/>
                    <w:jc w:val="center"/>
                    <w:rPr>
                      <w:rFonts w:eastAsia="宋体" w:cs="Times New Roman"/>
                      <w:sz w:val="21"/>
                      <w:szCs w:val="20"/>
                    </w:rPr>
                  </w:pPr>
                  <w:r>
                    <w:rPr>
                      <w:rFonts w:hint="eastAsia" w:eastAsia="宋体" w:cs="Times New Roman"/>
                      <w:kern w:val="0"/>
                      <w:szCs w:val="21"/>
                    </w:rPr>
                    <w:t>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43" w:hRule="atLeast"/>
              </w:trPr>
              <w:tc>
                <w:tcPr>
                  <w:tcW w:w="447" w:type="pct"/>
                  <w:vMerge w:val="restart"/>
                  <w:vAlign w:val="center"/>
                </w:tcPr>
                <w:p>
                  <w:pPr>
                    <w:pStyle w:val="27"/>
                    <w:jc w:val="center"/>
                    <w:rPr>
                      <w:rFonts w:eastAsia="宋体" w:cs="Times New Roman"/>
                      <w:kern w:val="0"/>
                      <w:szCs w:val="21"/>
                    </w:rPr>
                  </w:pPr>
                  <w:r>
                    <w:rPr>
                      <w:rFonts w:hint="eastAsia" w:eastAsia="宋体" w:cs="Times New Roman"/>
                      <w:kern w:val="0"/>
                      <w:szCs w:val="21"/>
                    </w:rPr>
                    <w:t>石英砂破碎筛分</w:t>
                  </w:r>
                </w:p>
              </w:tc>
              <w:tc>
                <w:tcPr>
                  <w:tcW w:w="528" w:type="pct"/>
                  <w:vMerge w:val="restart"/>
                  <w:vAlign w:val="center"/>
                </w:tcPr>
                <w:p>
                  <w:pPr>
                    <w:spacing w:line="240" w:lineRule="auto"/>
                    <w:jc w:val="center"/>
                    <w:rPr>
                      <w:rFonts w:eastAsia="宋体" w:cs="Times New Roman"/>
                      <w:kern w:val="0"/>
                      <w:sz w:val="21"/>
                      <w:szCs w:val="21"/>
                    </w:rPr>
                  </w:pPr>
                  <w:r>
                    <w:rPr>
                      <w:rFonts w:hint="eastAsia" w:eastAsia="宋体" w:cs="Times New Roman"/>
                      <w:kern w:val="0"/>
                      <w:sz w:val="21"/>
                      <w:szCs w:val="21"/>
                    </w:rPr>
                    <w:t>颗粒物</w:t>
                  </w: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9</w:t>
                  </w:r>
                  <w:r>
                    <w:rPr>
                      <w:rFonts w:eastAsia="宋体" w:cs="Times New Roman"/>
                      <w:kern w:val="0"/>
                      <w:szCs w:val="21"/>
                    </w:rPr>
                    <w:t>0t/a</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有组织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袋式除尘</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袋式除尘+15m排气筒DA001</w:t>
                  </w:r>
                </w:p>
              </w:tc>
              <w:tc>
                <w:tcPr>
                  <w:tcW w:w="480" w:type="pct"/>
                  <w:vAlign w:val="center"/>
                </w:tcPr>
                <w:p>
                  <w:pPr>
                    <w:spacing w:line="240" w:lineRule="auto"/>
                    <w:jc w:val="center"/>
                    <w:rPr>
                      <w:rFonts w:eastAsia="宋体" w:cs="Times New Roman"/>
                      <w:sz w:val="21"/>
                      <w:szCs w:val="20"/>
                    </w:rPr>
                  </w:pPr>
                  <w:r>
                    <w:rPr>
                      <w:rFonts w:hint="eastAsia" w:eastAsia="宋体" w:cs="Times New Roman"/>
                      <w:sz w:val="21"/>
                      <w:szCs w:val="20"/>
                    </w:rPr>
                    <w:t>9</w:t>
                  </w:r>
                  <w:r>
                    <w:rPr>
                      <w:rFonts w:eastAsia="宋体" w:cs="Times New Roman"/>
                      <w:sz w:val="21"/>
                      <w:szCs w:val="20"/>
                    </w:rPr>
                    <w:t>0</w:t>
                  </w:r>
                  <w:r>
                    <w:rPr>
                      <w:rFonts w:hint="eastAsia" w:eastAsia="宋体" w:cs="Times New Roman"/>
                      <w:sz w:val="21"/>
                      <w:szCs w:val="20"/>
                    </w:rPr>
                    <w:t>%</w:t>
                  </w:r>
                </w:p>
              </w:tc>
              <w:tc>
                <w:tcPr>
                  <w:tcW w:w="503" w:type="pct"/>
                  <w:vAlign w:val="center"/>
                </w:tcPr>
                <w:p>
                  <w:pPr>
                    <w:spacing w:line="240" w:lineRule="auto"/>
                    <w:jc w:val="center"/>
                    <w:rPr>
                      <w:rFonts w:eastAsia="宋体" w:cs="Times New Roman"/>
                      <w:sz w:val="21"/>
                      <w:szCs w:val="20"/>
                    </w:rPr>
                  </w:pPr>
                  <w:r>
                    <w:rPr>
                      <w:rFonts w:hint="eastAsia" w:eastAsia="宋体" w:cs="Times New Roman"/>
                      <w:sz w:val="21"/>
                      <w:szCs w:val="20"/>
                    </w:rPr>
                    <w:t>99%</w:t>
                  </w:r>
                </w:p>
              </w:tc>
              <w:tc>
                <w:tcPr>
                  <w:tcW w:w="515" w:type="pct"/>
                  <w:vAlign w:val="center"/>
                </w:tcPr>
                <w:p>
                  <w:pPr>
                    <w:spacing w:line="240" w:lineRule="auto"/>
                    <w:jc w:val="center"/>
                    <w:rPr>
                      <w:rFonts w:eastAsia="宋体" w:cs="Times New Roman"/>
                      <w:sz w:val="21"/>
                      <w:szCs w:val="21"/>
                    </w:rPr>
                  </w:pPr>
                  <w:r>
                    <w:rPr>
                      <w:rFonts w:hint="eastAsia" w:eastAsia="宋体" w:cs="Times New Roman"/>
                      <w:sz w:val="21"/>
                      <w:szCs w:val="21"/>
                    </w:rPr>
                    <w:t>3</w:t>
                  </w:r>
                  <w:r>
                    <w:rPr>
                      <w:rFonts w:eastAsia="宋体" w:cs="Times New Roman"/>
                      <w:sz w:val="21"/>
                      <w:szCs w:val="21"/>
                    </w:rPr>
                    <w:t>0</w:t>
                  </w:r>
                </w:p>
                <w:p>
                  <w:pPr>
                    <w:spacing w:line="240" w:lineRule="auto"/>
                    <w:jc w:val="center"/>
                    <w:rPr>
                      <w:rFonts w:eastAsia="宋体" w:cs="Times New Roman"/>
                      <w:sz w:val="21"/>
                      <w:szCs w:val="21"/>
                    </w:rPr>
                  </w:pPr>
                  <w:r>
                    <w:rPr>
                      <w:rFonts w:hint="eastAsia" w:eastAsia="宋体" w:cs="Times New Roman"/>
                      <w:kern w:val="0"/>
                      <w:sz w:val="21"/>
                      <w:szCs w:val="21"/>
                    </w:rPr>
                    <w:t>mg/m</w:t>
                  </w:r>
                  <w:r>
                    <w:rPr>
                      <w:rFonts w:hint="eastAsia" w:eastAsia="宋体" w:cs="Times New Roman"/>
                      <w:kern w:val="0"/>
                      <w:sz w:val="21"/>
                      <w:szCs w:val="21"/>
                      <w:vertAlign w:val="superscript"/>
                    </w:rPr>
                    <w:t>3</w:t>
                  </w:r>
                </w:p>
              </w:tc>
              <w:tc>
                <w:tcPr>
                  <w:tcW w:w="488" w:type="pct"/>
                  <w:vAlign w:val="center"/>
                </w:tcPr>
                <w:p>
                  <w:pPr>
                    <w:pStyle w:val="27"/>
                    <w:jc w:val="center"/>
                    <w:rPr>
                      <w:rFonts w:eastAsia="宋体" w:cs="Times New Roman"/>
                    </w:rPr>
                  </w:pPr>
                  <w:r>
                    <w:rPr>
                      <w:rFonts w:hint="eastAsia" w:eastAsia="宋体" w:cs="Times New Roman"/>
                      <w:szCs w:val="20"/>
                    </w:rPr>
                    <w:t>0</w:t>
                  </w:r>
                  <w:r>
                    <w:rPr>
                      <w:rFonts w:eastAsia="宋体" w:cs="Times New Roman"/>
                      <w:szCs w:val="20"/>
                    </w:rPr>
                    <w:t>.9t/a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43" w:hRule="atLeast"/>
              </w:trPr>
              <w:tc>
                <w:tcPr>
                  <w:tcW w:w="447" w:type="pct"/>
                  <w:vMerge w:val="continue"/>
                  <w:vAlign w:val="center"/>
                </w:tcPr>
                <w:p>
                  <w:pPr>
                    <w:pStyle w:val="27"/>
                    <w:jc w:val="center"/>
                    <w:rPr>
                      <w:rFonts w:eastAsia="宋体" w:cs="Times New Roman"/>
                      <w:kern w:val="0"/>
                      <w:szCs w:val="21"/>
                    </w:rPr>
                  </w:pPr>
                </w:p>
              </w:tc>
              <w:tc>
                <w:tcPr>
                  <w:tcW w:w="528" w:type="pct"/>
                  <w:vMerge w:val="continue"/>
                  <w:vAlign w:val="center"/>
                </w:tcPr>
                <w:p>
                  <w:pPr>
                    <w:spacing w:line="240" w:lineRule="auto"/>
                    <w:jc w:val="center"/>
                    <w:rPr>
                      <w:rFonts w:eastAsia="宋体" w:cs="Times New Roman"/>
                      <w:kern w:val="0"/>
                      <w:sz w:val="21"/>
                      <w:szCs w:val="21"/>
                    </w:rPr>
                  </w:pP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1</w:t>
                  </w:r>
                  <w:r>
                    <w:rPr>
                      <w:rFonts w:eastAsia="宋体" w:cs="Times New Roman"/>
                      <w:kern w:val="0"/>
                      <w:szCs w:val="21"/>
                    </w:rPr>
                    <w:t>0t/a</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无组织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密闭+喷淋</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密闭+喷淋</w:t>
                  </w:r>
                </w:p>
              </w:tc>
              <w:tc>
                <w:tcPr>
                  <w:tcW w:w="480" w:type="pct"/>
                  <w:vAlign w:val="center"/>
                </w:tcPr>
                <w:p>
                  <w:pPr>
                    <w:spacing w:line="240" w:lineRule="auto"/>
                    <w:jc w:val="center"/>
                    <w:rPr>
                      <w:rFonts w:eastAsia="宋体" w:cs="Times New Roman"/>
                      <w:sz w:val="21"/>
                      <w:szCs w:val="20"/>
                    </w:rPr>
                  </w:pPr>
                  <w:r>
                    <w:rPr>
                      <w:rFonts w:hint="eastAsia" w:eastAsia="宋体" w:cs="Times New Roman"/>
                      <w:sz w:val="21"/>
                      <w:szCs w:val="20"/>
                    </w:rPr>
                    <w:t>/</w:t>
                  </w:r>
                </w:p>
              </w:tc>
              <w:tc>
                <w:tcPr>
                  <w:tcW w:w="503" w:type="pct"/>
                  <w:vAlign w:val="center"/>
                </w:tcPr>
                <w:p>
                  <w:pPr>
                    <w:spacing w:line="240" w:lineRule="auto"/>
                    <w:jc w:val="center"/>
                    <w:rPr>
                      <w:rFonts w:eastAsia="宋体" w:cs="Times New Roman"/>
                      <w:sz w:val="21"/>
                      <w:szCs w:val="20"/>
                    </w:rPr>
                  </w:pPr>
                  <w:r>
                    <w:rPr>
                      <w:rFonts w:hint="eastAsia" w:eastAsia="宋体" w:cs="Times New Roman"/>
                      <w:sz w:val="21"/>
                      <w:szCs w:val="20"/>
                    </w:rPr>
                    <w:t>9</w:t>
                  </w:r>
                  <w:r>
                    <w:rPr>
                      <w:rFonts w:eastAsia="宋体" w:cs="Times New Roman"/>
                      <w:sz w:val="21"/>
                      <w:szCs w:val="20"/>
                    </w:rPr>
                    <w:t>0%</w:t>
                  </w:r>
                </w:p>
              </w:tc>
              <w:tc>
                <w:tcPr>
                  <w:tcW w:w="515" w:type="pct"/>
                  <w:vAlign w:val="center"/>
                </w:tcPr>
                <w:p>
                  <w:pPr>
                    <w:spacing w:line="240" w:lineRule="auto"/>
                    <w:jc w:val="center"/>
                    <w:rPr>
                      <w:rFonts w:eastAsia="宋体" w:cs="Times New Roman"/>
                      <w:sz w:val="21"/>
                      <w:szCs w:val="21"/>
                    </w:rPr>
                  </w:pPr>
                  <w:r>
                    <w:rPr>
                      <w:rFonts w:hint="eastAsia" w:eastAsia="宋体" w:cs="Times New Roman"/>
                      <w:sz w:val="21"/>
                      <w:szCs w:val="21"/>
                    </w:rPr>
                    <w:t>/</w:t>
                  </w:r>
                </w:p>
              </w:tc>
              <w:tc>
                <w:tcPr>
                  <w:tcW w:w="488" w:type="pct"/>
                  <w:vAlign w:val="center"/>
                </w:tcPr>
                <w:p>
                  <w:pPr>
                    <w:pStyle w:val="27"/>
                    <w:jc w:val="center"/>
                    <w:rPr>
                      <w:rFonts w:eastAsia="宋体" w:cs="Times New Roman"/>
                      <w:szCs w:val="20"/>
                    </w:rPr>
                  </w:pPr>
                  <w:r>
                    <w:rPr>
                      <w:rFonts w:hint="eastAsia" w:eastAsia="宋体" w:cs="Times New Roman"/>
                      <w:szCs w:val="20"/>
                    </w:rPr>
                    <w:t>1</w:t>
                  </w:r>
                  <w:r>
                    <w:rPr>
                      <w:rFonts w:eastAsia="宋体" w:cs="Times New Roman"/>
                      <w:szCs w:val="20"/>
                    </w:rPr>
                    <w:t>.0t/a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47" w:type="pct"/>
                  <w:vAlign w:val="center"/>
                </w:tcPr>
                <w:p>
                  <w:pPr>
                    <w:pStyle w:val="27"/>
                    <w:jc w:val="center"/>
                    <w:rPr>
                      <w:rFonts w:eastAsia="宋体" w:cs="Times New Roman"/>
                      <w:kern w:val="0"/>
                      <w:szCs w:val="21"/>
                    </w:rPr>
                  </w:pPr>
                  <w:r>
                    <w:rPr>
                      <w:rFonts w:hint="eastAsia" w:eastAsia="宋体" w:cs="Times New Roman"/>
                      <w:kern w:val="0"/>
                      <w:szCs w:val="21"/>
                    </w:rPr>
                    <w:t>搅拌</w:t>
                  </w:r>
                </w:p>
              </w:tc>
              <w:tc>
                <w:tcPr>
                  <w:tcW w:w="528" w:type="pct"/>
                  <w:vAlign w:val="center"/>
                </w:tcPr>
                <w:p>
                  <w:pPr>
                    <w:spacing w:line="240" w:lineRule="auto"/>
                    <w:jc w:val="center"/>
                    <w:rPr>
                      <w:rFonts w:eastAsia="宋体" w:cs="Times New Roman"/>
                      <w:kern w:val="0"/>
                      <w:sz w:val="21"/>
                      <w:szCs w:val="21"/>
                    </w:rPr>
                  </w:pPr>
                  <w:r>
                    <w:rPr>
                      <w:rFonts w:hint="eastAsia" w:eastAsia="宋体" w:cs="Times New Roman"/>
                      <w:kern w:val="0"/>
                      <w:sz w:val="21"/>
                      <w:szCs w:val="21"/>
                    </w:rPr>
                    <w:t>颗粒物</w:t>
                  </w: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0</w:t>
                  </w:r>
                  <w:r>
                    <w:rPr>
                      <w:rFonts w:eastAsia="宋体" w:cs="Times New Roman"/>
                      <w:kern w:val="0"/>
                      <w:szCs w:val="21"/>
                    </w:rPr>
                    <w:t>.65</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无组织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密闭+喷淋</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密闭+喷淋</w:t>
                  </w:r>
                </w:p>
              </w:tc>
              <w:tc>
                <w:tcPr>
                  <w:tcW w:w="480" w:type="pct"/>
                  <w:vAlign w:val="center"/>
                </w:tcPr>
                <w:p>
                  <w:pPr>
                    <w:spacing w:line="240" w:lineRule="auto"/>
                    <w:jc w:val="center"/>
                    <w:rPr>
                      <w:rFonts w:eastAsia="宋体" w:cs="Times New Roman"/>
                      <w:sz w:val="21"/>
                      <w:szCs w:val="20"/>
                    </w:rPr>
                  </w:pPr>
                  <w:r>
                    <w:rPr>
                      <w:rFonts w:hint="eastAsia" w:eastAsia="宋体" w:cs="Times New Roman"/>
                      <w:sz w:val="21"/>
                      <w:szCs w:val="20"/>
                    </w:rPr>
                    <w:t>/</w:t>
                  </w:r>
                </w:p>
              </w:tc>
              <w:tc>
                <w:tcPr>
                  <w:tcW w:w="503" w:type="pct"/>
                  <w:vAlign w:val="center"/>
                </w:tcPr>
                <w:p>
                  <w:pPr>
                    <w:spacing w:line="240" w:lineRule="auto"/>
                    <w:jc w:val="center"/>
                    <w:rPr>
                      <w:rFonts w:eastAsia="宋体" w:cs="Times New Roman"/>
                      <w:sz w:val="21"/>
                      <w:szCs w:val="20"/>
                    </w:rPr>
                  </w:pPr>
                  <w:r>
                    <w:rPr>
                      <w:rFonts w:hint="eastAsia" w:eastAsia="宋体" w:cs="Times New Roman"/>
                      <w:sz w:val="21"/>
                      <w:szCs w:val="20"/>
                    </w:rPr>
                    <w:t>9</w:t>
                  </w:r>
                  <w:r>
                    <w:rPr>
                      <w:rFonts w:eastAsia="宋体" w:cs="Times New Roman"/>
                      <w:sz w:val="21"/>
                      <w:szCs w:val="20"/>
                    </w:rPr>
                    <w:t>0%</w:t>
                  </w:r>
                </w:p>
              </w:tc>
              <w:tc>
                <w:tcPr>
                  <w:tcW w:w="515" w:type="pct"/>
                  <w:vAlign w:val="center"/>
                </w:tcPr>
                <w:p>
                  <w:pPr>
                    <w:spacing w:line="240" w:lineRule="auto"/>
                    <w:jc w:val="center"/>
                    <w:rPr>
                      <w:rFonts w:eastAsia="宋体" w:cs="Times New Roman"/>
                      <w:sz w:val="21"/>
                      <w:szCs w:val="20"/>
                    </w:rPr>
                  </w:pPr>
                  <w:r>
                    <w:rPr>
                      <w:rFonts w:hint="eastAsia" w:eastAsia="宋体" w:cs="Times New Roman"/>
                      <w:sz w:val="21"/>
                      <w:szCs w:val="20"/>
                    </w:rPr>
                    <w:t>/</w:t>
                  </w:r>
                </w:p>
              </w:tc>
              <w:tc>
                <w:tcPr>
                  <w:tcW w:w="488" w:type="pct"/>
                  <w:vAlign w:val="center"/>
                </w:tcPr>
                <w:p>
                  <w:pPr>
                    <w:pStyle w:val="27"/>
                    <w:jc w:val="center"/>
                    <w:rPr>
                      <w:rFonts w:eastAsia="宋体" w:cs="Times New Roman"/>
                      <w:kern w:val="0"/>
                      <w:szCs w:val="21"/>
                    </w:rPr>
                  </w:pPr>
                  <w:r>
                    <w:rPr>
                      <w:rFonts w:hint="eastAsia" w:eastAsia="宋体" w:cs="Times New Roman"/>
                      <w:szCs w:val="20"/>
                    </w:rPr>
                    <w:t>0</w:t>
                  </w:r>
                  <w:r>
                    <w:rPr>
                      <w:rFonts w:eastAsia="宋体" w:cs="Times New Roman"/>
                      <w:szCs w:val="20"/>
                    </w:rPr>
                    <w:t>.065</w:t>
                  </w:r>
                </w:p>
                <w:p>
                  <w:pPr>
                    <w:spacing w:line="240" w:lineRule="auto"/>
                    <w:jc w:val="center"/>
                    <w:rPr>
                      <w:rFonts w:eastAsia="宋体" w:cs="Times New Roman"/>
                      <w:sz w:val="21"/>
                      <w:szCs w:val="20"/>
                    </w:rPr>
                  </w:pPr>
                  <w:r>
                    <w:rPr>
                      <w:rFonts w:hint="eastAsia" w:eastAsia="宋体" w:cs="Times New Roman"/>
                      <w:kern w:val="0"/>
                      <w:szCs w:val="21"/>
                    </w:rPr>
                    <w:t>t/a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447" w:type="pct"/>
                  <w:vAlign w:val="center"/>
                </w:tcPr>
                <w:p>
                  <w:pPr>
                    <w:pStyle w:val="27"/>
                    <w:jc w:val="center"/>
                    <w:rPr>
                      <w:rFonts w:eastAsia="宋体" w:cs="Times New Roman"/>
                      <w:kern w:val="0"/>
                      <w:szCs w:val="21"/>
                    </w:rPr>
                  </w:pPr>
                  <w:r>
                    <w:rPr>
                      <w:rFonts w:hint="eastAsia" w:eastAsia="宋体" w:cs="Times New Roman"/>
                      <w:kern w:val="0"/>
                      <w:szCs w:val="21"/>
                    </w:rPr>
                    <w:t>筒仓</w:t>
                  </w:r>
                </w:p>
              </w:tc>
              <w:tc>
                <w:tcPr>
                  <w:tcW w:w="528" w:type="pct"/>
                  <w:vAlign w:val="center"/>
                </w:tcPr>
                <w:p>
                  <w:pPr>
                    <w:spacing w:line="240" w:lineRule="auto"/>
                    <w:jc w:val="center"/>
                    <w:rPr>
                      <w:rFonts w:eastAsia="宋体" w:cs="Times New Roman"/>
                      <w:kern w:val="0"/>
                      <w:sz w:val="21"/>
                      <w:szCs w:val="21"/>
                    </w:rPr>
                  </w:pPr>
                  <w:r>
                    <w:rPr>
                      <w:rFonts w:hint="eastAsia" w:eastAsia="宋体" w:cs="Times New Roman"/>
                      <w:kern w:val="0"/>
                      <w:sz w:val="21"/>
                      <w:szCs w:val="21"/>
                    </w:rPr>
                    <w:t>颗粒物</w:t>
                  </w:r>
                </w:p>
              </w:tc>
              <w:tc>
                <w:tcPr>
                  <w:tcW w:w="457" w:type="pct"/>
                  <w:vAlign w:val="center"/>
                </w:tcPr>
                <w:p>
                  <w:pPr>
                    <w:pStyle w:val="27"/>
                    <w:jc w:val="center"/>
                    <w:rPr>
                      <w:rFonts w:eastAsia="宋体" w:cs="Times New Roman"/>
                      <w:kern w:val="0"/>
                      <w:szCs w:val="21"/>
                    </w:rPr>
                  </w:pPr>
                  <w:r>
                    <w:rPr>
                      <w:rFonts w:hint="eastAsia" w:eastAsia="宋体" w:cs="Times New Roman"/>
                      <w:kern w:val="0"/>
                      <w:szCs w:val="21"/>
                    </w:rPr>
                    <w:t>0</w:t>
                  </w:r>
                  <w:r>
                    <w:rPr>
                      <w:rFonts w:eastAsia="宋体" w:cs="Times New Roman"/>
                      <w:kern w:val="0"/>
                      <w:szCs w:val="21"/>
                    </w:rPr>
                    <w:t>.12</w:t>
                  </w:r>
                </w:p>
              </w:tc>
              <w:tc>
                <w:tcPr>
                  <w:tcW w:w="458" w:type="pct"/>
                  <w:vAlign w:val="center"/>
                </w:tcPr>
                <w:p>
                  <w:pPr>
                    <w:pStyle w:val="27"/>
                    <w:jc w:val="center"/>
                    <w:rPr>
                      <w:rFonts w:eastAsia="宋体" w:cs="Times New Roman"/>
                      <w:kern w:val="0"/>
                      <w:szCs w:val="21"/>
                    </w:rPr>
                  </w:pPr>
                  <w:r>
                    <w:rPr>
                      <w:rFonts w:hint="eastAsia" w:eastAsia="宋体" w:cs="Times New Roman"/>
                      <w:kern w:val="0"/>
                      <w:szCs w:val="21"/>
                    </w:rPr>
                    <w:t>无组织</w:t>
                  </w:r>
                </w:p>
              </w:tc>
              <w:tc>
                <w:tcPr>
                  <w:tcW w:w="494" w:type="pct"/>
                  <w:vAlign w:val="center"/>
                </w:tcPr>
                <w:p>
                  <w:pPr>
                    <w:pStyle w:val="27"/>
                    <w:jc w:val="center"/>
                    <w:rPr>
                      <w:rFonts w:eastAsia="宋体" w:cs="Times New Roman"/>
                      <w:kern w:val="0"/>
                      <w:szCs w:val="21"/>
                    </w:rPr>
                  </w:pPr>
                  <w:r>
                    <w:rPr>
                      <w:rFonts w:hint="eastAsia" w:eastAsia="宋体" w:cs="Times New Roman"/>
                      <w:kern w:val="0"/>
                      <w:szCs w:val="21"/>
                    </w:rPr>
                    <w:t xml:space="preserve">除尘器 </w:t>
                  </w:r>
                </w:p>
              </w:tc>
              <w:tc>
                <w:tcPr>
                  <w:tcW w:w="630" w:type="pct"/>
                  <w:vAlign w:val="center"/>
                </w:tcPr>
                <w:p>
                  <w:pPr>
                    <w:pStyle w:val="27"/>
                    <w:jc w:val="center"/>
                    <w:rPr>
                      <w:rFonts w:eastAsia="宋体" w:cs="Times New Roman"/>
                      <w:kern w:val="0"/>
                      <w:szCs w:val="21"/>
                    </w:rPr>
                  </w:pPr>
                  <w:r>
                    <w:rPr>
                      <w:rFonts w:hint="eastAsia" w:eastAsia="宋体" w:cs="Times New Roman"/>
                      <w:kern w:val="0"/>
                      <w:szCs w:val="21"/>
                    </w:rPr>
                    <w:t>密闭+喷淋</w:t>
                  </w:r>
                </w:p>
              </w:tc>
              <w:tc>
                <w:tcPr>
                  <w:tcW w:w="480" w:type="pct"/>
                  <w:vAlign w:val="center"/>
                </w:tcPr>
                <w:p>
                  <w:pPr>
                    <w:spacing w:line="240" w:lineRule="auto"/>
                    <w:jc w:val="center"/>
                    <w:rPr>
                      <w:rFonts w:eastAsia="宋体" w:cs="Times New Roman"/>
                      <w:sz w:val="21"/>
                      <w:szCs w:val="20"/>
                    </w:rPr>
                  </w:pPr>
                  <w:r>
                    <w:rPr>
                      <w:rFonts w:hint="eastAsia" w:eastAsia="宋体" w:cs="Times New Roman"/>
                      <w:sz w:val="21"/>
                      <w:szCs w:val="20"/>
                    </w:rPr>
                    <w:t>/</w:t>
                  </w:r>
                </w:p>
              </w:tc>
              <w:tc>
                <w:tcPr>
                  <w:tcW w:w="503" w:type="pct"/>
                  <w:vAlign w:val="center"/>
                </w:tcPr>
                <w:p>
                  <w:pPr>
                    <w:spacing w:line="240" w:lineRule="auto"/>
                    <w:jc w:val="center"/>
                    <w:rPr>
                      <w:rFonts w:eastAsia="宋体" w:cs="Times New Roman"/>
                      <w:sz w:val="21"/>
                      <w:szCs w:val="20"/>
                    </w:rPr>
                  </w:pPr>
                  <w:r>
                    <w:rPr>
                      <w:rFonts w:hint="eastAsia" w:eastAsia="宋体" w:cs="Times New Roman"/>
                      <w:sz w:val="21"/>
                      <w:szCs w:val="20"/>
                    </w:rPr>
                    <w:t>9</w:t>
                  </w:r>
                  <w:r>
                    <w:rPr>
                      <w:rFonts w:eastAsia="宋体" w:cs="Times New Roman"/>
                      <w:sz w:val="21"/>
                      <w:szCs w:val="20"/>
                    </w:rPr>
                    <w:t>9.7%</w:t>
                  </w:r>
                </w:p>
              </w:tc>
              <w:tc>
                <w:tcPr>
                  <w:tcW w:w="515" w:type="pct"/>
                  <w:vAlign w:val="center"/>
                </w:tcPr>
                <w:p>
                  <w:pPr>
                    <w:spacing w:line="240" w:lineRule="auto"/>
                    <w:jc w:val="center"/>
                    <w:rPr>
                      <w:rFonts w:eastAsia="宋体" w:cs="Times New Roman"/>
                      <w:sz w:val="21"/>
                      <w:szCs w:val="20"/>
                    </w:rPr>
                  </w:pPr>
                  <w:r>
                    <w:rPr>
                      <w:rFonts w:hint="eastAsia" w:eastAsia="宋体" w:cs="Times New Roman"/>
                      <w:sz w:val="21"/>
                      <w:szCs w:val="20"/>
                    </w:rPr>
                    <w:t>/</w:t>
                  </w:r>
                </w:p>
              </w:tc>
              <w:tc>
                <w:tcPr>
                  <w:tcW w:w="488" w:type="pct"/>
                  <w:vAlign w:val="center"/>
                </w:tcPr>
                <w:p>
                  <w:pPr>
                    <w:spacing w:line="240" w:lineRule="auto"/>
                    <w:jc w:val="center"/>
                    <w:rPr>
                      <w:rFonts w:eastAsia="宋体" w:cs="Times New Roman"/>
                      <w:sz w:val="21"/>
                      <w:szCs w:val="20"/>
                    </w:rPr>
                  </w:pPr>
                  <w:r>
                    <w:rPr>
                      <w:rFonts w:hint="eastAsia" w:eastAsia="宋体" w:cs="Times New Roman"/>
                      <w:sz w:val="21"/>
                      <w:szCs w:val="20"/>
                    </w:rPr>
                    <w:t>0</w:t>
                  </w:r>
                  <w:r>
                    <w:rPr>
                      <w:rFonts w:eastAsia="宋体" w:cs="Times New Roman"/>
                      <w:sz w:val="21"/>
                      <w:szCs w:val="20"/>
                    </w:rPr>
                    <w:t>.36</w:t>
                  </w:r>
                </w:p>
                <w:p>
                  <w:pPr>
                    <w:spacing w:line="240" w:lineRule="auto"/>
                    <w:jc w:val="center"/>
                    <w:rPr>
                      <w:rFonts w:eastAsia="宋体" w:cs="Times New Roman"/>
                      <w:sz w:val="21"/>
                      <w:szCs w:val="20"/>
                    </w:rPr>
                  </w:pPr>
                  <w:r>
                    <w:rPr>
                      <w:rFonts w:eastAsia="宋体" w:cs="Times New Roman"/>
                      <w:sz w:val="21"/>
                      <w:szCs w:val="20"/>
                    </w:rPr>
                    <w:t>kg/a</w:t>
                  </w:r>
                </w:p>
              </w:tc>
            </w:tr>
          </w:tbl>
          <w:p>
            <w:pPr>
              <w:ind w:firstLine="480" w:firstLineChars="200"/>
              <w:rPr>
                <w:rFonts w:eastAsia="宋体" w:cs="Times New Roman"/>
              </w:rPr>
            </w:pPr>
          </w:p>
          <w:p>
            <w:pPr>
              <w:ind w:firstLine="480" w:firstLineChars="200"/>
              <w:rPr>
                <w:rFonts w:eastAsia="宋体" w:cs="Times New Roman"/>
              </w:rPr>
            </w:pPr>
          </w:p>
          <w:p>
            <w:pPr>
              <w:ind w:firstLine="480" w:firstLineChars="200"/>
              <w:rPr>
                <w:rFonts w:eastAsia="宋体" w:cs="Times New Roman"/>
              </w:rPr>
            </w:pPr>
            <w:r>
              <w:rPr>
                <w:rFonts w:hint="eastAsia" w:eastAsia="宋体" w:cs="Times New Roman"/>
              </w:rPr>
              <w:t>本项目运营期废气污染物主要为：车辆运输产生的道路扬尘、原料装卸产生的粉尘、原料堆存产生的粉尘、原料上料过程产生的粉尘、原料破碎及研磨分选产生的粉尘、防辐射预制品搅拌工序粉尘、水泥筒仓粉尘。</w:t>
            </w:r>
          </w:p>
          <w:p>
            <w:pPr>
              <w:pStyle w:val="65"/>
              <w:widowControl w:val="0"/>
              <w:suppressLineNumbers/>
              <w:suppressAutoHyphens/>
              <w:spacing w:before="0" w:beforeLines="0" w:after="0" w:afterLines="0" w:line="360" w:lineRule="auto"/>
              <w:ind w:firstLine="480"/>
            </w:pPr>
            <w:r>
              <w:rPr>
                <w:rFonts w:hint="eastAsia"/>
              </w:rPr>
              <w:t>（1）</w:t>
            </w:r>
            <w:r>
              <w:t>道路运输扬尘</w:t>
            </w:r>
          </w:p>
          <w:p>
            <w:pPr>
              <w:pStyle w:val="65"/>
              <w:widowControl w:val="0"/>
              <w:suppressLineNumbers/>
              <w:suppressAutoHyphens/>
              <w:spacing w:before="0" w:beforeLines="0" w:after="0" w:afterLines="0" w:line="360" w:lineRule="auto"/>
              <w:ind w:firstLine="480"/>
            </w:pPr>
            <w:r>
              <w:t>车辆运输产生的扬尘，在道路完全干燥的情况下，可按下列公式计算：</w:t>
            </w:r>
          </w:p>
          <w:p>
            <w:pPr>
              <w:pStyle w:val="65"/>
              <w:widowControl w:val="0"/>
              <w:suppressLineNumbers/>
              <w:suppressAutoHyphens/>
              <w:spacing w:before="0" w:beforeLines="0" w:after="0" w:afterLines="0" w:line="360" w:lineRule="auto"/>
              <w:ind w:firstLine="480"/>
              <w:jc w:val="center"/>
            </w:pPr>
            <w:r>
              <w:t>Q=0.123（V/5）（M/6.8）</w:t>
            </w:r>
            <w:r>
              <w:rPr>
                <w:vertAlign w:val="superscript"/>
              </w:rPr>
              <w:t>0.85</w:t>
            </w:r>
            <w:r>
              <w:t>（P/0.5）</w:t>
            </w:r>
            <w:r>
              <w:rPr>
                <w:vertAlign w:val="superscript"/>
              </w:rPr>
              <w:t>0.75</w:t>
            </w:r>
          </w:p>
          <w:p>
            <w:pPr>
              <w:pStyle w:val="65"/>
              <w:widowControl w:val="0"/>
              <w:suppressLineNumbers/>
              <w:suppressAutoHyphens/>
              <w:spacing w:before="0" w:beforeLines="0" w:after="0" w:afterLines="0" w:line="360" w:lineRule="auto"/>
              <w:ind w:firstLine="480"/>
            </w:pPr>
            <w:r>
              <w:t>式中：Q：汽车行驶时的扬尘，kg/km辆；</w:t>
            </w:r>
          </w:p>
          <w:p>
            <w:pPr>
              <w:pStyle w:val="65"/>
              <w:widowControl w:val="0"/>
              <w:suppressLineNumbers/>
              <w:suppressAutoHyphens/>
              <w:spacing w:before="0" w:beforeLines="0" w:after="0" w:afterLines="0" w:line="360" w:lineRule="auto"/>
              <w:ind w:firstLine="480"/>
            </w:pPr>
            <w:r>
              <w:t xml:space="preserve">      V：汽车速度，km/h；</w:t>
            </w:r>
          </w:p>
          <w:p>
            <w:pPr>
              <w:pStyle w:val="65"/>
              <w:widowControl w:val="0"/>
              <w:suppressLineNumbers/>
              <w:suppressAutoHyphens/>
              <w:spacing w:before="0" w:beforeLines="0" w:after="0" w:afterLines="0" w:line="360" w:lineRule="auto"/>
              <w:ind w:firstLine="480"/>
            </w:pPr>
            <w:r>
              <w:t xml:space="preserve">      M：汽车载重量，吨；</w:t>
            </w:r>
          </w:p>
          <w:p>
            <w:pPr>
              <w:pStyle w:val="65"/>
              <w:widowControl w:val="0"/>
              <w:suppressLineNumbers/>
              <w:suppressAutoHyphens/>
              <w:spacing w:before="0" w:beforeLines="0" w:after="0" w:afterLines="0" w:line="360" w:lineRule="auto"/>
              <w:ind w:firstLine="480"/>
            </w:pPr>
            <w:r>
              <w:t xml:space="preserve">      P：道路表面粉尘量，kg/m</w:t>
            </w:r>
            <w:r>
              <w:rPr>
                <w:vertAlign w:val="superscript"/>
              </w:rPr>
              <w:t>2</w:t>
            </w:r>
          </w:p>
          <w:p>
            <w:pPr>
              <w:pStyle w:val="65"/>
              <w:widowControl w:val="0"/>
              <w:suppressLineNumbers/>
              <w:suppressAutoHyphens/>
              <w:spacing w:before="0" w:beforeLines="0" w:after="0" w:afterLines="0" w:line="360" w:lineRule="auto"/>
              <w:ind w:firstLine="480"/>
            </w:pPr>
            <w:r>
              <w:t>车辆在厂区行驶的速度按5km/h计算，行驶距离按300m计算。空车平均按5t计；重车平均按</w:t>
            </w:r>
            <w:r>
              <w:rPr>
                <w:rFonts w:hint="eastAsia"/>
              </w:rPr>
              <w:t>5</w:t>
            </w:r>
            <w:r>
              <w:t>5t计，本环评要求对厂区内地面进行定期洒水，并且要求场内车辆在更换运输品种、停止运输或大的交班时需要对运输车辆进行冲洗，基于这种情况本环评道路路况以0.2kg/m</w:t>
            </w:r>
            <w:r>
              <w:rPr>
                <w:vertAlign w:val="superscript"/>
              </w:rPr>
              <w:t>2</w:t>
            </w:r>
            <w:r>
              <w:t>计，</w:t>
            </w:r>
            <w:r>
              <w:rPr>
                <w:rFonts w:hint="eastAsia"/>
              </w:rPr>
              <w:t>本</w:t>
            </w:r>
            <w:r>
              <w:t>项目汽车动力</w:t>
            </w:r>
            <w:r>
              <w:rPr>
                <w:rFonts w:hint="eastAsia"/>
              </w:rPr>
              <w:t>运输</w:t>
            </w:r>
            <w:r>
              <w:t>起尘量为0.107t/a。</w:t>
            </w:r>
          </w:p>
          <w:p>
            <w:pPr>
              <w:ind w:firstLine="480" w:firstLineChars="200"/>
              <w:rPr>
                <w:rFonts w:eastAsia="宋体" w:cs="Times New Roman"/>
                <w:bCs/>
              </w:rPr>
            </w:pPr>
            <w:r>
              <w:rPr>
                <w:rFonts w:hint="eastAsia" w:eastAsia="宋体" w:cs="Times New Roman"/>
                <w:bCs/>
                <w:kern w:val="0"/>
                <w:szCs w:val="28"/>
              </w:rPr>
              <w:t>（2）堆存、装卸粉尘</w:t>
            </w:r>
          </w:p>
          <w:p>
            <w:pPr>
              <w:ind w:firstLine="480" w:firstLineChars="200"/>
              <w:rPr>
                <w:rFonts w:eastAsia="宋体" w:cs="Times New Roman"/>
              </w:rPr>
            </w:pPr>
            <w:r>
              <w:rPr>
                <w:rFonts w:hint="eastAsia" w:eastAsia="宋体" w:cs="Times New Roman"/>
              </w:rPr>
              <w:t>项目生产原料均暂存于封闭式厂房内，主要是原料中固体废物、砂子和再生骨料中粒径较小的颗粒、渣在风力作用下起动输送，会对下风向大气环境造成污染。</w:t>
            </w:r>
          </w:p>
          <w:p>
            <w:pPr>
              <w:ind w:firstLine="480" w:firstLineChars="200"/>
              <w:rPr>
                <w:rFonts w:eastAsia="宋体" w:cs="Times New Roman"/>
              </w:rPr>
            </w:pPr>
            <w:r>
              <w:rPr>
                <w:rFonts w:hint="eastAsia" w:eastAsia="宋体" w:cs="Times New Roman"/>
              </w:rPr>
              <w:t>①堆场、装卸扬尘</w:t>
            </w:r>
            <w:r>
              <w:rPr>
                <w:rFonts w:hint="eastAsia" w:eastAsia="宋体" w:cs="Times New Roman"/>
                <w:szCs w:val="24"/>
                <w:lang w:val="zh-CN"/>
              </w:rPr>
              <w:t>产生</w:t>
            </w:r>
            <w:r>
              <w:rPr>
                <w:rFonts w:eastAsia="宋体" w:cs="Times New Roman"/>
                <w:szCs w:val="24"/>
                <w:lang w:val="zh-CN"/>
              </w:rPr>
              <w:t>量核算</w:t>
            </w:r>
          </w:p>
          <w:p>
            <w:pPr>
              <w:ind w:firstLine="480" w:firstLineChars="200"/>
              <w:rPr>
                <w:rFonts w:eastAsia="宋体" w:cs="Times New Roman"/>
              </w:rPr>
            </w:pPr>
            <w:r>
              <w:rPr>
                <w:rFonts w:hint="eastAsia" w:eastAsia="宋体" w:cs="Times New Roman"/>
              </w:rPr>
              <w:t>本项目堆存、装卸粉尘参照“关于发布《排放源统计调查产排污核算方法和系数手册》的公告（公告2021年 第24号）”中“附表2 《固体物料堆存颗粒物产排污核算系数手册》”进行计算。</w:t>
            </w:r>
          </w:p>
          <w:p>
            <w:pPr>
              <w:ind w:firstLine="480" w:firstLineChars="200"/>
              <w:rPr>
                <w:rFonts w:eastAsia="宋体" w:cs="Times New Roman"/>
                <w:lang w:val="zh-CN"/>
              </w:rPr>
            </w:pPr>
            <w:r>
              <w:rPr>
                <w:rFonts w:eastAsia="宋体" w:cs="Times New Roman"/>
                <w:szCs w:val="24"/>
                <w:lang w:val="zh-CN"/>
              </w:rPr>
              <w:t>工业企业固体物料堆存颗粒物包括装卸扬尘和风蚀扬尘，颗粒物产生量核算公式如下：</w:t>
            </w:r>
          </w:p>
          <w:p>
            <w:pPr>
              <w:pStyle w:val="19"/>
              <w:ind w:firstLine="0" w:firstLineChars="0"/>
              <w:jc w:val="center"/>
              <w:rPr>
                <w:sz w:val="32"/>
                <w:szCs w:val="22"/>
                <w:lang w:val="zh-CN"/>
              </w:rPr>
            </w:pPr>
            <w:r>
              <w:rPr>
                <w:position w:val="-14"/>
                <w:sz w:val="32"/>
                <w:szCs w:val="22"/>
                <w:lang w:val="zh-CN"/>
              </w:rPr>
              <w:object>
                <v:shape id="_x0000_i1025" o:spt="75" type="#_x0000_t75" style="height:19.5pt;width:245.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ind w:firstLine="480" w:firstLineChars="200"/>
              <w:rPr>
                <w:rFonts w:eastAsia="宋体" w:cs="Times New Roman"/>
              </w:rPr>
            </w:pPr>
            <w:r>
              <w:rPr>
                <w:rFonts w:eastAsia="宋体" w:cs="Times New Roman"/>
                <w:szCs w:val="24"/>
              </w:rPr>
              <w:t>式中：</w:t>
            </w:r>
            <w:r>
              <w:rPr>
                <w:rFonts w:hint="eastAsia" w:eastAsia="宋体" w:cs="Times New Roman"/>
              </w:rPr>
              <w:t>P——指颗粒物产生量（单位：t）；</w:t>
            </w:r>
          </w:p>
          <w:p>
            <w:pPr>
              <w:ind w:firstLine="480" w:firstLineChars="200"/>
              <w:rPr>
                <w:rFonts w:eastAsia="宋体" w:cs="Times New Roman"/>
              </w:rPr>
            </w:pPr>
            <w:r>
              <w:rPr>
                <w:rFonts w:hint="eastAsia" w:eastAsia="宋体" w:cs="Times New Roman"/>
              </w:rPr>
              <w:t>ZCy——指装卸扬尘产生量（单位：t）；</w:t>
            </w:r>
          </w:p>
          <w:p>
            <w:pPr>
              <w:ind w:firstLine="480" w:firstLineChars="200"/>
              <w:rPr>
                <w:rFonts w:eastAsia="宋体" w:cs="Times New Roman"/>
              </w:rPr>
            </w:pPr>
            <w:r>
              <w:rPr>
                <w:rFonts w:hint="eastAsia" w:eastAsia="宋体" w:cs="Times New Roman"/>
              </w:rPr>
              <w:t>FCy——指风蚀扬尘产生量（单位：t）；</w:t>
            </w:r>
          </w:p>
          <w:p>
            <w:pPr>
              <w:ind w:firstLine="480" w:firstLineChars="200"/>
              <w:rPr>
                <w:rFonts w:eastAsia="宋体" w:cs="Times New Roman"/>
              </w:rPr>
            </w:pPr>
            <w:r>
              <w:rPr>
                <w:rFonts w:hint="eastAsia" w:eastAsia="宋体" w:cs="Times New Roman"/>
              </w:rPr>
              <w:t>Nc——指年物料运载车次（单位：车）；</w:t>
            </w:r>
          </w:p>
          <w:p>
            <w:pPr>
              <w:ind w:firstLine="480" w:firstLineChars="200"/>
              <w:rPr>
                <w:rFonts w:eastAsia="宋体" w:cs="Times New Roman"/>
              </w:rPr>
            </w:pPr>
            <w:r>
              <w:rPr>
                <w:rFonts w:hint="eastAsia" w:eastAsia="宋体" w:cs="Times New Roman"/>
              </w:rPr>
              <w:t>D——指单车平均运载量（单位：t/车）；</w:t>
            </w:r>
          </w:p>
          <w:p>
            <w:pPr>
              <w:ind w:firstLine="1200" w:firstLineChars="500"/>
              <w:rPr>
                <w:rFonts w:eastAsia="宋体" w:cs="Times New Roman"/>
              </w:rPr>
            </w:pPr>
            <w:r>
              <w:rPr>
                <w:rFonts w:hint="eastAsia" w:eastAsia="宋体" w:cs="Times New Roman"/>
              </w:rPr>
              <w:drawing>
                <wp:anchor distT="0" distB="0" distL="114300" distR="114300" simplePos="0" relativeHeight="251659264" behindDoc="1" locked="0" layoutInCell="1" allowOverlap="1">
                  <wp:simplePos x="0" y="0"/>
                  <wp:positionH relativeFrom="column">
                    <wp:posOffset>295275</wp:posOffset>
                  </wp:positionH>
                  <wp:positionV relativeFrom="paragraph">
                    <wp:posOffset>37465</wp:posOffset>
                  </wp:positionV>
                  <wp:extent cx="390525" cy="200025"/>
                  <wp:effectExtent l="0" t="0" r="9525" b="7620"/>
                  <wp:wrapNone/>
                  <wp:docPr id="5"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3"/>
                          <pic:cNvPicPr>
                            <a:picLocks noChangeAspect="1"/>
                          </pic:cNvPicPr>
                        </pic:nvPicPr>
                        <pic:blipFill>
                          <a:blip r:embed="rId14"/>
                          <a:stretch>
                            <a:fillRect/>
                          </a:stretch>
                        </pic:blipFill>
                        <pic:spPr>
                          <a:xfrm>
                            <a:off x="0" y="0"/>
                            <a:ext cx="390525" cy="200025"/>
                          </a:xfrm>
                          <a:prstGeom prst="rect">
                            <a:avLst/>
                          </a:prstGeom>
                          <a:noFill/>
                          <a:ln>
                            <a:noFill/>
                          </a:ln>
                        </pic:spPr>
                      </pic:pic>
                    </a:graphicData>
                  </a:graphic>
                </wp:anchor>
              </w:drawing>
            </w:r>
            <w:r>
              <w:rPr>
                <w:rFonts w:hint="eastAsia" w:eastAsia="宋体" w:cs="Times New Roman"/>
              </w:rPr>
              <w:t>——指装卸扬尘概化系数（单位：kg/t），ɑ指各省风速概化系数（陕西省为0.0008），b指物料含水率概化系数</w:t>
            </w:r>
            <w:r>
              <w:rPr>
                <w:rFonts w:eastAsia="宋体" w:cs="Times New Roman"/>
                <w:szCs w:val="24"/>
              </w:rPr>
              <w:t>（本项目为0.0017）；</w:t>
            </w:r>
          </w:p>
          <w:p>
            <w:pPr>
              <w:pStyle w:val="19"/>
              <w:ind w:left="480" w:firstLine="720" w:firstLineChars="300"/>
              <w:rPr>
                <w:szCs w:val="32"/>
              </w:rPr>
            </w:pPr>
            <w:r>
              <w:t>E</w:t>
            </w:r>
            <w:r>
              <w:rPr>
                <w:vertAlign w:val="subscript"/>
              </w:rPr>
              <w:t>f</w:t>
            </w:r>
            <w:r>
              <w:t>——</w:t>
            </w:r>
            <w:r>
              <w:rPr>
                <w:szCs w:val="32"/>
              </w:rPr>
              <w:t>指堆场风蚀扬尘概化系数</w:t>
            </w:r>
            <w:r>
              <w:t>（单位：kg/m</w:t>
            </w:r>
            <w:r>
              <w:rPr>
                <w:vertAlign w:val="superscript"/>
              </w:rPr>
              <w:t>2</w:t>
            </w:r>
            <w:r>
              <w:t>）</w:t>
            </w:r>
            <w:r>
              <w:rPr>
                <w:szCs w:val="32"/>
              </w:rPr>
              <w:t>（</w:t>
            </w:r>
            <w:r>
              <w:t>本项目为3.6062</w:t>
            </w:r>
            <w:r>
              <w:rPr>
                <w:szCs w:val="32"/>
              </w:rPr>
              <w:t>）；</w:t>
            </w:r>
          </w:p>
          <w:p>
            <w:pPr>
              <w:ind w:left="480" w:leftChars="200" w:firstLine="720" w:firstLineChars="300"/>
              <w:rPr>
                <w:rFonts w:eastAsia="宋体" w:cs="Times New Roman"/>
                <w:szCs w:val="32"/>
              </w:rPr>
            </w:pPr>
            <w:r>
              <w:rPr>
                <w:rFonts w:eastAsia="宋体" w:cs="Times New Roman"/>
                <w:szCs w:val="32"/>
              </w:rPr>
              <w:t>S</w:t>
            </w:r>
            <w:r>
              <w:rPr>
                <w:rFonts w:eastAsia="宋体" w:cs="Times New Roman"/>
                <w:szCs w:val="24"/>
              </w:rPr>
              <w:t>——</w:t>
            </w:r>
            <w:r>
              <w:rPr>
                <w:rFonts w:eastAsia="宋体" w:cs="Times New Roman"/>
                <w:szCs w:val="32"/>
              </w:rPr>
              <w:t>指堆场占地面积（单位：</w:t>
            </w:r>
            <w:r>
              <w:rPr>
                <w:rFonts w:eastAsia="宋体" w:cs="Times New Roman"/>
                <w:szCs w:val="24"/>
              </w:rPr>
              <w:t>m</w:t>
            </w:r>
            <w:r>
              <w:rPr>
                <w:rFonts w:eastAsia="宋体" w:cs="Times New Roman"/>
                <w:szCs w:val="24"/>
                <w:vertAlign w:val="superscript"/>
              </w:rPr>
              <w:t>2</w:t>
            </w:r>
            <w:r>
              <w:rPr>
                <w:rFonts w:eastAsia="宋体" w:cs="Times New Roman"/>
                <w:szCs w:val="32"/>
              </w:rPr>
              <w:t>）（项目原料</w:t>
            </w:r>
            <w:r>
              <w:rPr>
                <w:rFonts w:hint="eastAsia" w:eastAsia="宋体" w:cs="Times New Roman"/>
                <w:szCs w:val="32"/>
              </w:rPr>
              <w:t>堆存</w:t>
            </w:r>
            <w:r>
              <w:rPr>
                <w:rFonts w:eastAsia="宋体" w:cs="Times New Roman"/>
                <w:szCs w:val="32"/>
              </w:rPr>
              <w:t>占地面积</w:t>
            </w:r>
            <w:r>
              <w:rPr>
                <w:rFonts w:hint="eastAsia" w:eastAsia="宋体" w:cs="Times New Roman"/>
                <w:szCs w:val="32"/>
              </w:rPr>
              <w:t>约9000</w:t>
            </w:r>
            <w:r>
              <w:rPr>
                <w:rFonts w:eastAsia="宋体" w:cs="Times New Roman"/>
                <w:szCs w:val="24"/>
              </w:rPr>
              <w:t>m</w:t>
            </w:r>
            <w:r>
              <w:rPr>
                <w:rFonts w:eastAsia="宋体" w:cs="Times New Roman"/>
                <w:szCs w:val="24"/>
                <w:vertAlign w:val="superscript"/>
              </w:rPr>
              <w:t>2</w:t>
            </w:r>
            <w:r>
              <w:rPr>
                <w:rFonts w:eastAsia="宋体" w:cs="Times New Roman"/>
                <w:szCs w:val="32"/>
              </w:rPr>
              <w:t>）</w:t>
            </w:r>
          </w:p>
          <w:p>
            <w:pPr>
              <w:pStyle w:val="19"/>
              <w:spacing w:line="360" w:lineRule="auto"/>
              <w:ind w:firstLine="480"/>
              <w:rPr>
                <w:szCs w:val="32"/>
              </w:rPr>
            </w:pPr>
            <w:r>
              <w:rPr>
                <w:szCs w:val="32"/>
              </w:rPr>
              <w:t>本项目原材料年卸车量约为30万t，每次卸料量按均值</w:t>
            </w:r>
            <w:r>
              <w:rPr>
                <w:rFonts w:hint="eastAsia"/>
                <w:szCs w:val="32"/>
              </w:rPr>
              <w:t>50</w:t>
            </w:r>
            <w:r>
              <w:rPr>
                <w:szCs w:val="32"/>
              </w:rPr>
              <w:t>t计，卸车次数为</w:t>
            </w:r>
            <w:r>
              <w:rPr>
                <w:rFonts w:hint="eastAsia"/>
                <w:szCs w:val="32"/>
              </w:rPr>
              <w:t>6000</w:t>
            </w:r>
            <w:r>
              <w:rPr>
                <w:szCs w:val="32"/>
              </w:rPr>
              <w:t>次，经计算本项目堆存、装卸粉尘产生量为</w:t>
            </w:r>
            <w:r>
              <w:rPr>
                <w:rFonts w:hint="eastAsia"/>
                <w:szCs w:val="32"/>
              </w:rPr>
              <w:t>206.09</w:t>
            </w:r>
            <w:r>
              <w:rPr>
                <w:szCs w:val="32"/>
              </w:rPr>
              <w:t>t/a。</w:t>
            </w:r>
          </w:p>
          <w:p>
            <w:pPr>
              <w:pStyle w:val="19"/>
              <w:spacing w:line="360" w:lineRule="auto"/>
              <w:ind w:firstLine="480"/>
              <w:rPr>
                <w:lang w:val="zh-CN"/>
              </w:rPr>
            </w:pPr>
            <w:r>
              <w:rPr>
                <w:lang w:val="zh-CN"/>
              </w:rPr>
              <w:t>②</w:t>
            </w:r>
            <w:r>
              <w:rPr>
                <w:rFonts w:hint="eastAsia"/>
                <w:lang w:val="zh-CN"/>
              </w:rPr>
              <w:t>堆场、装卸扬尘</w:t>
            </w:r>
            <w:r>
              <w:rPr>
                <w:lang w:val="zh-CN"/>
              </w:rPr>
              <w:t>排放量核算</w:t>
            </w:r>
          </w:p>
          <w:p>
            <w:pPr>
              <w:pStyle w:val="19"/>
              <w:spacing w:line="360" w:lineRule="auto"/>
              <w:ind w:firstLine="480"/>
            </w:pPr>
            <w:r>
              <w:t>工业企业固体物料堆场颗粒物排放量核算公式如下：</w:t>
            </w:r>
          </w:p>
          <w:p>
            <w:pPr>
              <w:jc w:val="center"/>
              <w:rPr>
                <w:rFonts w:eastAsia="宋体" w:cs="Times New Roman"/>
                <w:szCs w:val="32"/>
              </w:rPr>
            </w:pPr>
            <w:r>
              <w:rPr>
                <w:position w:val="-12"/>
                <w:szCs w:val="32"/>
              </w:rPr>
              <w:object>
                <v:shape id="_x0000_i1026" o:spt="75" type="#_x0000_t75" style="height:18.75pt;width:129.7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p>
          <w:p>
            <w:pPr>
              <w:pStyle w:val="19"/>
              <w:spacing w:line="360" w:lineRule="auto"/>
              <w:ind w:firstLine="480"/>
            </w:pPr>
            <w:r>
              <w:rPr>
                <w:szCs w:val="20"/>
              </w:rPr>
              <w:t>式中：</w:t>
            </w:r>
            <w:r>
              <w:t>P</w:t>
            </w:r>
            <w:r>
              <w:rPr>
                <w:szCs w:val="32"/>
              </w:rPr>
              <w:t>——</w:t>
            </w:r>
            <w:r>
              <w:t>指颗粒物产生量（单位：t）；</w:t>
            </w:r>
          </w:p>
          <w:p>
            <w:pPr>
              <w:pStyle w:val="19"/>
              <w:spacing w:line="360" w:lineRule="auto"/>
              <w:ind w:left="480" w:firstLine="720" w:firstLineChars="300"/>
            </w:pPr>
            <w:r>
              <w:t>U</w:t>
            </w:r>
            <w:r>
              <w:rPr>
                <w:vertAlign w:val="subscript"/>
              </w:rPr>
              <w:t>c</w:t>
            </w:r>
            <w:r>
              <w:rPr>
                <w:szCs w:val="32"/>
              </w:rPr>
              <w:t>——</w:t>
            </w:r>
            <w:r>
              <w:t>指颗粒物排放量（单位：t）；</w:t>
            </w:r>
          </w:p>
          <w:p>
            <w:pPr>
              <w:ind w:left="480" w:leftChars="200" w:firstLine="720" w:firstLineChars="300"/>
              <w:rPr>
                <w:rFonts w:eastAsia="宋体" w:cs="Times New Roman"/>
              </w:rPr>
            </w:pPr>
            <w:r>
              <w:rPr>
                <w:rFonts w:eastAsia="宋体" w:cs="Times New Roman"/>
                <w:szCs w:val="32"/>
              </w:rPr>
              <w:t>C</w:t>
            </w:r>
            <w:r>
              <w:rPr>
                <w:rFonts w:eastAsia="宋体" w:cs="Times New Roman"/>
                <w:szCs w:val="32"/>
                <w:vertAlign w:val="subscript"/>
              </w:rPr>
              <w:t>m</w:t>
            </w:r>
            <w:r>
              <w:rPr>
                <w:rFonts w:eastAsia="宋体" w:cs="Times New Roman"/>
                <w:szCs w:val="32"/>
              </w:rPr>
              <w:t>——</w:t>
            </w:r>
            <w:r>
              <w:rPr>
                <w:rFonts w:eastAsia="宋体" w:cs="Times New Roman"/>
                <w:szCs w:val="24"/>
              </w:rPr>
              <w:t>指颗粒物控制措施控制效率（单位：%）（本项目车辆出入进行冲洗，</w:t>
            </w:r>
            <w:r>
              <w:rPr>
                <w:rFonts w:hint="eastAsia"/>
              </w:rPr>
              <w:t>且物料装卸料时采用喷雾降尘装置，故</w:t>
            </w:r>
            <w:r>
              <w:rPr>
                <w:rFonts w:eastAsia="宋体" w:cs="Times New Roman"/>
                <w:szCs w:val="24"/>
              </w:rPr>
              <w:t>控制效率取90%）；</w:t>
            </w:r>
          </w:p>
          <w:p>
            <w:pPr>
              <w:pStyle w:val="19"/>
              <w:spacing w:line="360" w:lineRule="auto"/>
              <w:ind w:left="480" w:firstLine="720" w:firstLineChars="300"/>
            </w:pPr>
            <w:r>
              <w:t>T</w:t>
            </w:r>
            <w:r>
              <w:rPr>
                <w:vertAlign w:val="subscript"/>
              </w:rPr>
              <w:t>m</w:t>
            </w:r>
            <w:r>
              <w:rPr>
                <w:szCs w:val="32"/>
              </w:rPr>
              <w:t>——</w:t>
            </w:r>
            <w:r>
              <w:t>指堆场类型控制效率（单位：%）（</w:t>
            </w:r>
            <w:r>
              <w:rPr>
                <w:rFonts w:hint="eastAsia"/>
              </w:rPr>
              <w:t>物料堆放时采用防尘网遮盖并设置围挡</w:t>
            </w:r>
            <w:r>
              <w:t>，</w:t>
            </w:r>
            <w:r>
              <w:rPr>
                <w:rFonts w:hint="eastAsia"/>
              </w:rPr>
              <w:t>故</w:t>
            </w:r>
            <w:r>
              <w:t>控制效率取90%）</w:t>
            </w:r>
          </w:p>
          <w:p>
            <w:pPr>
              <w:ind w:firstLine="480" w:firstLineChars="200"/>
              <w:rPr>
                <w:rFonts w:eastAsia="宋体" w:cs="Times New Roman"/>
              </w:rPr>
            </w:pPr>
            <w:r>
              <w:rPr>
                <w:rFonts w:eastAsia="宋体" w:cs="Times New Roman"/>
                <w:szCs w:val="24"/>
              </w:rPr>
              <w:t>经计算，</w:t>
            </w:r>
            <w:r>
              <w:rPr>
                <w:rFonts w:eastAsia="宋体" w:cs="Times New Roman"/>
                <w:szCs w:val="24"/>
                <w:lang w:val="zh-CN"/>
              </w:rPr>
              <w:t>本项目所需原料中</w:t>
            </w:r>
            <w:r>
              <w:rPr>
                <w:rFonts w:hint="eastAsia" w:eastAsia="宋体" w:cs="Times New Roman"/>
                <w:szCs w:val="24"/>
              </w:rPr>
              <w:t>固体废物</w:t>
            </w:r>
            <w:r>
              <w:rPr>
                <w:rFonts w:eastAsia="宋体" w:cs="Times New Roman"/>
                <w:szCs w:val="24"/>
                <w:lang w:val="zh-CN"/>
              </w:rPr>
              <w:t>和砂子，颗粒较大、密度大、含水高，起尘量相对较少。</w:t>
            </w:r>
            <w:r>
              <w:rPr>
                <w:rFonts w:eastAsia="宋体" w:cs="Times New Roman"/>
                <w:szCs w:val="24"/>
              </w:rPr>
              <w:t>在采取了车辆出入冲洗及封闭式厂房喷淋等措施后，项目堆存、装卸粉尘无组织排放量为</w:t>
            </w:r>
            <w:r>
              <w:rPr>
                <w:rFonts w:hint="eastAsia" w:eastAsia="宋体" w:cs="Times New Roman"/>
                <w:szCs w:val="24"/>
              </w:rPr>
              <w:t>2.06</w:t>
            </w:r>
            <w:r>
              <w:rPr>
                <w:rFonts w:eastAsia="宋体" w:cs="Times New Roman"/>
                <w:szCs w:val="24"/>
              </w:rPr>
              <w:t>t/a</w:t>
            </w:r>
            <w:r>
              <w:rPr>
                <w:rFonts w:hint="eastAsia" w:eastAsia="宋体" w:cs="Times New Roman"/>
                <w:szCs w:val="24"/>
              </w:rPr>
              <w:t>。</w:t>
            </w:r>
          </w:p>
          <w:p>
            <w:pPr>
              <w:ind w:firstLine="480" w:firstLineChars="200"/>
              <w:rPr>
                <w:rFonts w:eastAsia="宋体" w:cs="Times New Roman"/>
                <w:bCs/>
                <w:kern w:val="0"/>
                <w:szCs w:val="28"/>
              </w:rPr>
            </w:pPr>
            <w:r>
              <w:rPr>
                <w:rFonts w:eastAsia="宋体" w:cs="Times New Roman"/>
                <w:bCs/>
                <w:kern w:val="0"/>
                <w:szCs w:val="28"/>
              </w:rPr>
              <w:t>（4）原料上料粉尘</w:t>
            </w:r>
          </w:p>
          <w:p>
            <w:pPr>
              <w:autoSpaceDE w:val="0"/>
              <w:autoSpaceDN w:val="0"/>
              <w:adjustRightInd w:val="0"/>
              <w:ind w:firstLine="480" w:firstLineChars="200"/>
              <w:rPr>
                <w:rFonts w:eastAsia="宋体" w:cs="Times New Roman"/>
                <w:szCs w:val="32"/>
              </w:rPr>
            </w:pPr>
            <w:r>
              <w:rPr>
                <w:rFonts w:eastAsia="宋体" w:cs="Times New Roman"/>
                <w:kern w:val="0"/>
                <w:lang w:bidi="ar"/>
              </w:rPr>
              <w:t>本项目</w:t>
            </w:r>
            <w:r>
              <w:rPr>
                <w:rFonts w:hint="eastAsia" w:eastAsia="宋体" w:cs="Times New Roman"/>
                <w:kern w:val="0"/>
                <w:lang w:bidi="ar"/>
              </w:rPr>
              <w:t>原料通过装载机/叉车</w:t>
            </w:r>
            <w:r>
              <w:rPr>
                <w:rFonts w:eastAsia="宋体" w:cs="Times New Roman"/>
                <w:kern w:val="0"/>
                <w:lang w:bidi="ar"/>
              </w:rPr>
              <w:t>送入</w:t>
            </w:r>
            <w:r>
              <w:rPr>
                <w:rFonts w:hint="eastAsia" w:eastAsia="宋体" w:cs="Times New Roman"/>
                <w:kern w:val="0"/>
                <w:lang w:bidi="ar"/>
              </w:rPr>
              <w:t>破碎机</w:t>
            </w:r>
            <w:r>
              <w:rPr>
                <w:rFonts w:eastAsia="宋体" w:cs="Times New Roman"/>
                <w:kern w:val="0"/>
                <w:lang w:bidi="ar"/>
              </w:rPr>
              <w:t>给料斗</w:t>
            </w:r>
            <w:r>
              <w:rPr>
                <w:rFonts w:hint="eastAsia" w:eastAsia="宋体" w:cs="Times New Roman"/>
                <w:kern w:val="0"/>
                <w:lang w:bidi="ar"/>
              </w:rPr>
              <w:t>内</w:t>
            </w:r>
            <w:r>
              <w:rPr>
                <w:rFonts w:eastAsia="宋体" w:cs="Times New Roman"/>
                <w:kern w:val="0"/>
                <w:lang w:bidi="ar"/>
              </w:rPr>
              <w:t>，</w:t>
            </w:r>
            <w:r>
              <w:rPr>
                <w:rFonts w:eastAsia="宋体" w:cs="Times New Roman"/>
                <w:szCs w:val="32"/>
              </w:rPr>
              <w:t xml:space="preserve">机械落差的起尘量按交通部水运研究所武汉水运学院提出的经验公式估算，公式为： </w:t>
            </w:r>
          </w:p>
          <w:p>
            <w:pPr>
              <w:autoSpaceDE w:val="0"/>
              <w:autoSpaceDN w:val="0"/>
              <w:adjustRightInd w:val="0"/>
              <w:ind w:firstLine="480" w:firstLineChars="200"/>
              <w:jc w:val="center"/>
              <w:rPr>
                <w:rFonts w:eastAsia="宋体" w:cs="Times New Roman"/>
                <w:szCs w:val="32"/>
              </w:rPr>
            </w:pPr>
            <w:r>
              <w:rPr>
                <w:szCs w:val="32"/>
              </w:rPr>
              <w:object>
                <v:shape id="_x0000_i1027" o:spt="75" type="#_x0000_t75" style="height:30.75pt;width:120.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p>
          <w:p>
            <w:pPr>
              <w:ind w:firstLine="480" w:firstLineChars="200"/>
              <w:rPr>
                <w:rFonts w:eastAsia="宋体" w:cs="Times New Roman"/>
                <w:szCs w:val="32"/>
              </w:rPr>
            </w:pPr>
            <w:r>
              <w:rPr>
                <w:rFonts w:eastAsia="宋体" w:cs="Times New Roman"/>
                <w:szCs w:val="32"/>
              </w:rPr>
              <w:t>式中：Q—物料装车时机械落差起尘量，kg/s</w:t>
            </w:r>
          </w:p>
          <w:p>
            <w:pPr>
              <w:ind w:firstLine="480" w:firstLineChars="200"/>
              <w:rPr>
                <w:rFonts w:eastAsia="宋体" w:cs="Times New Roman"/>
                <w:szCs w:val="32"/>
              </w:rPr>
            </w:pPr>
            <w:r>
              <w:rPr>
                <w:rFonts w:eastAsia="宋体" w:cs="Times New Roman"/>
                <w:szCs w:val="32"/>
              </w:rPr>
              <w:t xml:space="preserve">      U—平均风速，m/s </w:t>
            </w:r>
          </w:p>
          <w:p>
            <w:pPr>
              <w:ind w:firstLine="1200" w:firstLineChars="500"/>
              <w:rPr>
                <w:rFonts w:eastAsia="宋体" w:cs="Times New Roman"/>
                <w:szCs w:val="32"/>
              </w:rPr>
            </w:pPr>
            <w:r>
              <w:rPr>
                <w:rFonts w:eastAsia="宋体" w:cs="Times New Roman"/>
                <w:szCs w:val="32"/>
              </w:rPr>
              <w:t>H—物料落差，m</w:t>
            </w:r>
          </w:p>
          <w:p>
            <w:pPr>
              <w:ind w:firstLine="1200" w:firstLineChars="500"/>
              <w:rPr>
                <w:rFonts w:eastAsia="宋体" w:cs="Times New Roman"/>
                <w:szCs w:val="32"/>
              </w:rPr>
            </w:pPr>
            <w:r>
              <w:rPr>
                <w:rFonts w:eastAsia="宋体" w:cs="Times New Roman"/>
                <w:szCs w:val="32"/>
              </w:rPr>
              <w:t>w—物料含水率，%</w:t>
            </w:r>
          </w:p>
          <w:p>
            <w:pPr>
              <w:ind w:firstLine="1200" w:firstLineChars="500"/>
              <w:rPr>
                <w:rFonts w:eastAsia="宋体" w:cs="Times New Roman"/>
                <w:szCs w:val="32"/>
              </w:rPr>
            </w:pPr>
            <w:r>
              <w:rPr>
                <w:rFonts w:eastAsia="宋体" w:cs="Times New Roman"/>
                <w:szCs w:val="32"/>
              </w:rPr>
              <w:t>t—每吨物料装车所用时间，s/t</w:t>
            </w:r>
          </w:p>
          <w:p>
            <w:pPr>
              <w:ind w:firstLine="480" w:firstLineChars="200"/>
              <w:rPr>
                <w:rFonts w:eastAsia="宋体" w:cs="Times New Roman"/>
                <w:kern w:val="0"/>
                <w:lang w:bidi="ar"/>
              </w:rPr>
            </w:pPr>
            <w:r>
              <w:rPr>
                <w:rFonts w:eastAsia="宋体" w:cs="Times New Roman"/>
                <w:szCs w:val="32"/>
              </w:rPr>
              <w:t>本项目加料过程在封闭的车间内进行，风速取静风风速0.2m/s，物料落差</w:t>
            </w:r>
            <w:r>
              <w:rPr>
                <w:rFonts w:hint="eastAsia" w:eastAsia="宋体" w:cs="Times New Roman"/>
                <w:szCs w:val="32"/>
              </w:rPr>
              <w:t>为</w:t>
            </w:r>
            <w:r>
              <w:rPr>
                <w:rFonts w:eastAsia="宋体" w:cs="Times New Roman"/>
                <w:szCs w:val="32"/>
              </w:rPr>
              <w:t>1m，物料含水率</w:t>
            </w:r>
            <w:r>
              <w:rPr>
                <w:rFonts w:hint="eastAsia" w:eastAsia="宋体" w:cs="Times New Roman"/>
                <w:szCs w:val="32"/>
              </w:rPr>
              <w:t>取5</w:t>
            </w:r>
            <w:r>
              <w:rPr>
                <w:rFonts w:eastAsia="宋体" w:cs="Times New Roman"/>
                <w:szCs w:val="32"/>
              </w:rPr>
              <w:t>%</w:t>
            </w:r>
            <w:r>
              <w:rPr>
                <w:rFonts w:hint="eastAsia" w:eastAsia="宋体" w:cs="Times New Roman"/>
                <w:szCs w:val="32"/>
              </w:rPr>
              <w:t>，每吨物料上料时间为5</w:t>
            </w:r>
            <w:r>
              <w:rPr>
                <w:rFonts w:eastAsia="宋体" w:cs="Times New Roman"/>
                <w:szCs w:val="32"/>
              </w:rPr>
              <w:t>s，由上式计算可知，物料上料时起尘量为0.00045kg/s</w:t>
            </w:r>
            <w:r>
              <w:rPr>
                <w:rFonts w:hint="eastAsia" w:eastAsia="宋体" w:cs="Times New Roman"/>
                <w:szCs w:val="32"/>
              </w:rPr>
              <w:t>（1</w:t>
            </w:r>
            <w:r>
              <w:rPr>
                <w:rFonts w:eastAsia="宋体" w:cs="Times New Roman"/>
                <w:szCs w:val="32"/>
              </w:rPr>
              <w:t>.62kg/h</w:t>
            </w:r>
            <w:r>
              <w:rPr>
                <w:rFonts w:hint="eastAsia" w:eastAsia="宋体" w:cs="Times New Roman"/>
                <w:szCs w:val="32"/>
              </w:rPr>
              <w:t>）。年上料时间约为</w:t>
            </w:r>
            <w:r>
              <w:rPr>
                <w:rFonts w:eastAsia="宋体" w:cs="Times New Roman"/>
                <w:szCs w:val="32"/>
              </w:rPr>
              <w:t>280h</w:t>
            </w:r>
            <w:r>
              <w:rPr>
                <w:rFonts w:hint="eastAsia" w:eastAsia="宋体" w:cs="Times New Roman"/>
                <w:szCs w:val="32"/>
              </w:rPr>
              <w:t>，则上料粉尘产生量为0</w:t>
            </w:r>
            <w:r>
              <w:rPr>
                <w:rFonts w:eastAsia="宋体" w:cs="Times New Roman"/>
                <w:szCs w:val="32"/>
              </w:rPr>
              <w:t>.45t/a</w:t>
            </w:r>
            <w:r>
              <w:rPr>
                <w:rFonts w:hint="eastAsia" w:eastAsia="宋体" w:cs="Times New Roman"/>
                <w:szCs w:val="32"/>
              </w:rPr>
              <w:t>。</w:t>
            </w:r>
          </w:p>
          <w:p>
            <w:pPr>
              <w:ind w:firstLine="480" w:firstLineChars="200"/>
              <w:rPr>
                <w:rFonts w:eastAsia="宋体" w:cs="Times New Roman"/>
              </w:rPr>
            </w:pPr>
            <w:r>
              <w:rPr>
                <w:rFonts w:hint="eastAsia" w:eastAsia="宋体" w:cs="Times New Roman"/>
                <w:kern w:val="0"/>
                <w:lang w:bidi="ar"/>
              </w:rPr>
              <w:t>本项目</w:t>
            </w:r>
            <w:r>
              <w:rPr>
                <w:rFonts w:eastAsia="宋体" w:cs="Times New Roman"/>
                <w:kern w:val="0"/>
                <w:lang w:bidi="ar"/>
              </w:rPr>
              <w:t>所有生产设备均置于密闭厂房内，厂房顶部</w:t>
            </w:r>
            <w:r>
              <w:rPr>
                <w:rFonts w:eastAsia="宋体" w:cs="Times New Roman"/>
              </w:rPr>
              <w:t>配套安装洒水喷头，保证定时洒水抑尘，可有效抑制90%的粉尘产生，则该环节无组织排放的粉尘为0.045t/a</w:t>
            </w:r>
            <w:r>
              <w:rPr>
                <w:rFonts w:hint="eastAsia" w:eastAsia="宋体" w:cs="Times New Roman"/>
              </w:rPr>
              <w:t>，排放速率为0</w:t>
            </w:r>
            <w:r>
              <w:rPr>
                <w:rFonts w:eastAsia="宋体" w:cs="Times New Roman"/>
              </w:rPr>
              <w:t>.162kg/h</w:t>
            </w:r>
            <w:r>
              <w:rPr>
                <w:rFonts w:hint="eastAsia" w:eastAsia="宋体" w:cs="Times New Roman"/>
              </w:rPr>
              <w:t>。</w:t>
            </w:r>
          </w:p>
          <w:p>
            <w:pPr>
              <w:ind w:firstLine="480" w:firstLineChars="200"/>
              <w:rPr>
                <w:rFonts w:eastAsia="宋体" w:cs="Times New Roman"/>
                <w:bCs/>
                <w:kern w:val="0"/>
                <w:szCs w:val="28"/>
              </w:rPr>
            </w:pPr>
            <w:r>
              <w:rPr>
                <w:rFonts w:eastAsia="宋体" w:cs="Times New Roman"/>
                <w:bCs/>
                <w:kern w:val="0"/>
                <w:szCs w:val="28"/>
              </w:rPr>
              <w:t>（</w:t>
            </w:r>
            <w:r>
              <w:rPr>
                <w:rFonts w:hint="eastAsia" w:eastAsia="宋体" w:cs="Times New Roman"/>
                <w:bCs/>
                <w:kern w:val="0"/>
                <w:szCs w:val="28"/>
              </w:rPr>
              <w:t>5</w:t>
            </w:r>
            <w:r>
              <w:rPr>
                <w:rFonts w:eastAsia="宋体" w:cs="Times New Roman"/>
                <w:bCs/>
                <w:kern w:val="0"/>
                <w:szCs w:val="28"/>
              </w:rPr>
              <w:t>）原料破碎</w:t>
            </w:r>
            <w:r>
              <w:rPr>
                <w:rFonts w:hint="eastAsia" w:eastAsia="宋体" w:cs="Times New Roman"/>
                <w:bCs/>
                <w:kern w:val="0"/>
                <w:szCs w:val="28"/>
              </w:rPr>
              <w:t>、筛分粉尘核算</w:t>
            </w:r>
          </w:p>
          <w:p>
            <w:pPr>
              <w:ind w:firstLine="480" w:firstLineChars="200"/>
              <w:rPr>
                <w:rFonts w:eastAsia="宋体" w:cs="Times New Roman"/>
                <w:szCs w:val="24"/>
              </w:rPr>
            </w:pPr>
            <w:r>
              <w:rPr>
                <w:rFonts w:hint="eastAsia" w:eastAsia="宋体" w:cs="Times New Roman"/>
                <w:szCs w:val="24"/>
              </w:rPr>
              <w:t>①重晶石粉加工生产线</w:t>
            </w:r>
          </w:p>
          <w:p>
            <w:pPr>
              <w:ind w:firstLine="480" w:firstLineChars="200"/>
              <w:rPr>
                <w:rFonts w:eastAsia="宋体" w:cs="Times New Roman"/>
              </w:rPr>
            </w:pPr>
            <w:r>
              <w:rPr>
                <w:rFonts w:eastAsia="宋体" w:cs="Times New Roman"/>
                <w:szCs w:val="24"/>
              </w:rPr>
              <w:t>本项目</w:t>
            </w:r>
            <w:r>
              <w:rPr>
                <w:rFonts w:hint="eastAsia" w:eastAsia="宋体" w:cs="Times New Roman"/>
                <w:szCs w:val="24"/>
              </w:rPr>
              <w:t>重晶石矿石</w:t>
            </w:r>
            <w:r>
              <w:rPr>
                <w:rFonts w:eastAsia="宋体" w:cs="Times New Roman"/>
                <w:szCs w:val="24"/>
              </w:rPr>
              <w:t>破碎、筛分过程中粉尘产生量参照“关于发布《排放源统计调查产排污核算方法和系数手册》的公告（公告2021年 第24号）”中“3099 其他</w:t>
            </w:r>
            <w:r>
              <w:rPr>
                <w:rFonts w:hint="eastAsia" w:eastAsia="宋体" w:cs="Times New Roman"/>
                <w:szCs w:val="24"/>
              </w:rPr>
              <w:t>非金属矿物制品</w:t>
            </w:r>
            <w:r>
              <w:rPr>
                <w:rFonts w:eastAsia="宋体" w:cs="Times New Roman"/>
                <w:szCs w:val="24"/>
              </w:rPr>
              <w:t>制造行业系数表”。</w:t>
            </w:r>
          </w:p>
          <w:p>
            <w:pPr>
              <w:spacing w:line="240" w:lineRule="auto"/>
              <w:jc w:val="center"/>
              <w:rPr>
                <w:rFonts w:eastAsia="宋体" w:cs="Times New Roman"/>
                <w:b/>
                <w:kern w:val="0"/>
                <w:sz w:val="21"/>
                <w:szCs w:val="21"/>
              </w:rPr>
            </w:pPr>
            <w:r>
              <w:rPr>
                <w:rFonts w:eastAsia="宋体" w:cs="Times New Roman"/>
                <w:b/>
                <w:bCs/>
                <w:sz w:val="21"/>
                <w:szCs w:val="21"/>
              </w:rPr>
              <w:t xml:space="preserve">表4-2  </w:t>
            </w:r>
            <w:r>
              <w:rPr>
                <w:rFonts w:eastAsia="宋体" w:cs="Times New Roman"/>
                <w:b/>
                <w:kern w:val="0"/>
                <w:sz w:val="21"/>
                <w:szCs w:val="21"/>
              </w:rPr>
              <w:t>物料</w:t>
            </w:r>
            <w:r>
              <w:rPr>
                <w:rFonts w:hint="eastAsia" w:eastAsia="宋体" w:cs="Times New Roman"/>
                <w:b/>
                <w:kern w:val="0"/>
                <w:sz w:val="21"/>
                <w:szCs w:val="21"/>
              </w:rPr>
              <w:t>破碎、筛分、磨粉</w:t>
            </w:r>
            <w:r>
              <w:rPr>
                <w:rFonts w:eastAsia="宋体" w:cs="Times New Roman"/>
                <w:b/>
                <w:kern w:val="0"/>
                <w:sz w:val="21"/>
                <w:szCs w:val="21"/>
              </w:rPr>
              <w:t>产排污系数表（摘录）</w:t>
            </w:r>
          </w:p>
          <w:tbl>
            <w:tblPr>
              <w:tblStyle w:val="21"/>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729"/>
              <w:gridCol w:w="706"/>
              <w:gridCol w:w="708"/>
              <w:gridCol w:w="851"/>
              <w:gridCol w:w="708"/>
              <w:gridCol w:w="853"/>
              <w:gridCol w:w="1176"/>
              <w:gridCol w:w="117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产品名称</w:t>
                  </w:r>
                </w:p>
              </w:tc>
              <w:tc>
                <w:tcPr>
                  <w:tcW w:w="483"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原料名称</w:t>
                  </w:r>
                </w:p>
              </w:tc>
              <w:tc>
                <w:tcPr>
                  <w:tcW w:w="468"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工艺名称</w:t>
                  </w:r>
                </w:p>
              </w:tc>
              <w:tc>
                <w:tcPr>
                  <w:tcW w:w="469"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规模等级</w:t>
                  </w:r>
                </w:p>
              </w:tc>
              <w:tc>
                <w:tcPr>
                  <w:tcW w:w="564"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污染物指标</w:t>
                  </w:r>
                </w:p>
              </w:tc>
              <w:tc>
                <w:tcPr>
                  <w:tcW w:w="469"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单位</w:t>
                  </w:r>
                </w:p>
              </w:tc>
              <w:tc>
                <w:tcPr>
                  <w:tcW w:w="565"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产污系数</w:t>
                  </w:r>
                </w:p>
              </w:tc>
              <w:tc>
                <w:tcPr>
                  <w:tcW w:w="779"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末端治理技术名称</w:t>
                  </w:r>
                </w:p>
              </w:tc>
              <w:tc>
                <w:tcPr>
                  <w:tcW w:w="776"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末端治理技术平均去除效率（%）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pct"/>
                  <w:vMerge w:val="restar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钙粉</w:t>
                  </w:r>
                </w:p>
              </w:tc>
              <w:tc>
                <w:tcPr>
                  <w:tcW w:w="483" w:type="pct"/>
                  <w:vMerge w:val="restar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石灰石</w:t>
                  </w:r>
                </w:p>
              </w:tc>
              <w:tc>
                <w:tcPr>
                  <w:tcW w:w="468"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破碎</w:t>
                  </w:r>
                </w:p>
              </w:tc>
              <w:tc>
                <w:tcPr>
                  <w:tcW w:w="469" w:type="pct"/>
                  <w:vMerge w:val="restar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所有规模</w:t>
                  </w:r>
                </w:p>
              </w:tc>
              <w:tc>
                <w:tcPr>
                  <w:tcW w:w="564" w:type="pct"/>
                  <w:vMerge w:val="restar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颗粒物</w:t>
                  </w:r>
                </w:p>
              </w:tc>
              <w:tc>
                <w:tcPr>
                  <w:tcW w:w="469" w:type="pct"/>
                  <w:vMerge w:val="restar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千克/吨-产品</w:t>
                  </w:r>
                </w:p>
              </w:tc>
              <w:tc>
                <w:tcPr>
                  <w:tcW w:w="565"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1.13</w:t>
                  </w:r>
                </w:p>
              </w:tc>
              <w:tc>
                <w:tcPr>
                  <w:tcW w:w="77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袋式除尘</w:t>
                  </w:r>
                </w:p>
              </w:tc>
              <w:tc>
                <w:tcPr>
                  <w:tcW w:w="776"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99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tcBorders>
                    <w:tl2br w:val="nil"/>
                    <w:tr2bl w:val="nil"/>
                  </w:tcBorders>
                  <w:vAlign w:val="center"/>
                </w:tcPr>
                <w:p>
                  <w:pPr>
                    <w:spacing w:line="240" w:lineRule="auto"/>
                    <w:jc w:val="center"/>
                    <w:rPr>
                      <w:rFonts w:eastAsia="宋体" w:cs="Times New Roman"/>
                      <w:sz w:val="21"/>
                      <w:szCs w:val="21"/>
                    </w:rPr>
                  </w:pPr>
                </w:p>
              </w:tc>
              <w:tc>
                <w:tcPr>
                  <w:tcW w:w="483" w:type="pct"/>
                  <w:vMerge w:val="continue"/>
                  <w:tcBorders>
                    <w:tl2br w:val="nil"/>
                    <w:tr2bl w:val="nil"/>
                  </w:tcBorders>
                  <w:vAlign w:val="center"/>
                </w:tcPr>
                <w:p>
                  <w:pPr>
                    <w:spacing w:line="240" w:lineRule="auto"/>
                    <w:jc w:val="center"/>
                    <w:rPr>
                      <w:rFonts w:eastAsia="宋体" w:cs="Times New Roman"/>
                      <w:sz w:val="21"/>
                      <w:szCs w:val="21"/>
                    </w:rPr>
                  </w:pPr>
                </w:p>
              </w:tc>
              <w:tc>
                <w:tcPr>
                  <w:tcW w:w="468"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筛分</w:t>
                  </w:r>
                </w:p>
              </w:tc>
              <w:tc>
                <w:tcPr>
                  <w:tcW w:w="469" w:type="pct"/>
                  <w:vMerge w:val="continue"/>
                  <w:tcBorders>
                    <w:tl2br w:val="nil"/>
                    <w:tr2bl w:val="nil"/>
                  </w:tcBorders>
                  <w:vAlign w:val="center"/>
                </w:tcPr>
                <w:p>
                  <w:pPr>
                    <w:spacing w:line="240" w:lineRule="auto"/>
                    <w:jc w:val="center"/>
                    <w:rPr>
                      <w:rFonts w:eastAsia="宋体" w:cs="Times New Roman"/>
                      <w:sz w:val="21"/>
                      <w:szCs w:val="21"/>
                    </w:rPr>
                  </w:pPr>
                </w:p>
              </w:tc>
              <w:tc>
                <w:tcPr>
                  <w:tcW w:w="564" w:type="pct"/>
                  <w:vMerge w:val="continue"/>
                  <w:tcBorders>
                    <w:tl2br w:val="nil"/>
                    <w:tr2bl w:val="nil"/>
                  </w:tcBorders>
                  <w:vAlign w:val="center"/>
                </w:tcPr>
                <w:p>
                  <w:pPr>
                    <w:spacing w:line="240" w:lineRule="auto"/>
                    <w:jc w:val="center"/>
                    <w:rPr>
                      <w:rFonts w:eastAsia="宋体" w:cs="Times New Roman"/>
                      <w:sz w:val="21"/>
                      <w:szCs w:val="21"/>
                    </w:rPr>
                  </w:pPr>
                </w:p>
              </w:tc>
              <w:tc>
                <w:tcPr>
                  <w:tcW w:w="469" w:type="pct"/>
                  <w:vMerge w:val="continue"/>
                  <w:tcBorders>
                    <w:tl2br w:val="nil"/>
                    <w:tr2bl w:val="nil"/>
                  </w:tcBorders>
                  <w:vAlign w:val="center"/>
                </w:tcPr>
                <w:p>
                  <w:pPr>
                    <w:spacing w:line="240" w:lineRule="auto"/>
                    <w:jc w:val="center"/>
                    <w:rPr>
                      <w:rFonts w:eastAsia="宋体" w:cs="Times New Roman"/>
                      <w:sz w:val="21"/>
                      <w:szCs w:val="21"/>
                    </w:rPr>
                  </w:pPr>
                </w:p>
              </w:tc>
              <w:tc>
                <w:tcPr>
                  <w:tcW w:w="565"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1.13</w:t>
                  </w:r>
                </w:p>
              </w:tc>
              <w:tc>
                <w:tcPr>
                  <w:tcW w:w="77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袋式除尘</w:t>
                  </w:r>
                </w:p>
              </w:tc>
              <w:tc>
                <w:tcPr>
                  <w:tcW w:w="776"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99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tcBorders>
                    <w:tl2br w:val="nil"/>
                    <w:tr2bl w:val="nil"/>
                  </w:tcBorders>
                  <w:vAlign w:val="center"/>
                </w:tcPr>
                <w:p>
                  <w:pPr>
                    <w:spacing w:line="240" w:lineRule="auto"/>
                    <w:jc w:val="center"/>
                    <w:rPr>
                      <w:rFonts w:eastAsia="宋体" w:cs="Times New Roman"/>
                      <w:sz w:val="21"/>
                      <w:szCs w:val="21"/>
                    </w:rPr>
                  </w:pPr>
                </w:p>
              </w:tc>
              <w:tc>
                <w:tcPr>
                  <w:tcW w:w="483" w:type="pct"/>
                  <w:vMerge w:val="continue"/>
                  <w:tcBorders>
                    <w:tl2br w:val="nil"/>
                    <w:tr2bl w:val="nil"/>
                  </w:tcBorders>
                  <w:vAlign w:val="center"/>
                </w:tcPr>
                <w:p>
                  <w:pPr>
                    <w:spacing w:line="240" w:lineRule="auto"/>
                    <w:jc w:val="center"/>
                    <w:rPr>
                      <w:rFonts w:eastAsia="宋体" w:cs="Times New Roman"/>
                      <w:sz w:val="21"/>
                      <w:szCs w:val="21"/>
                    </w:rPr>
                  </w:pPr>
                </w:p>
              </w:tc>
              <w:tc>
                <w:tcPr>
                  <w:tcW w:w="46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磨粉</w:t>
                  </w:r>
                </w:p>
              </w:tc>
              <w:tc>
                <w:tcPr>
                  <w:tcW w:w="469" w:type="pct"/>
                  <w:vMerge w:val="continue"/>
                  <w:tcBorders>
                    <w:tl2br w:val="nil"/>
                    <w:tr2bl w:val="nil"/>
                  </w:tcBorders>
                  <w:vAlign w:val="center"/>
                </w:tcPr>
                <w:p>
                  <w:pPr>
                    <w:spacing w:line="240" w:lineRule="auto"/>
                    <w:jc w:val="center"/>
                    <w:rPr>
                      <w:rFonts w:eastAsia="宋体" w:cs="Times New Roman"/>
                      <w:sz w:val="21"/>
                      <w:szCs w:val="21"/>
                    </w:rPr>
                  </w:pPr>
                </w:p>
              </w:tc>
              <w:tc>
                <w:tcPr>
                  <w:tcW w:w="564" w:type="pct"/>
                  <w:vMerge w:val="continue"/>
                  <w:tcBorders>
                    <w:tl2br w:val="nil"/>
                    <w:tr2bl w:val="nil"/>
                  </w:tcBorders>
                  <w:vAlign w:val="center"/>
                </w:tcPr>
                <w:p>
                  <w:pPr>
                    <w:spacing w:line="240" w:lineRule="auto"/>
                    <w:jc w:val="center"/>
                    <w:rPr>
                      <w:rFonts w:eastAsia="宋体" w:cs="Times New Roman"/>
                      <w:sz w:val="21"/>
                      <w:szCs w:val="21"/>
                    </w:rPr>
                  </w:pPr>
                </w:p>
              </w:tc>
              <w:tc>
                <w:tcPr>
                  <w:tcW w:w="469" w:type="pct"/>
                  <w:vMerge w:val="continue"/>
                  <w:tcBorders>
                    <w:tl2br w:val="nil"/>
                    <w:tr2bl w:val="nil"/>
                  </w:tcBorders>
                  <w:vAlign w:val="center"/>
                </w:tcPr>
                <w:p>
                  <w:pPr>
                    <w:spacing w:line="240" w:lineRule="auto"/>
                    <w:jc w:val="center"/>
                    <w:rPr>
                      <w:rFonts w:eastAsia="宋体" w:cs="Times New Roman"/>
                      <w:sz w:val="21"/>
                      <w:szCs w:val="21"/>
                    </w:rPr>
                  </w:pPr>
                </w:p>
              </w:tc>
              <w:tc>
                <w:tcPr>
                  <w:tcW w:w="565"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1</w:t>
                  </w:r>
                  <w:r>
                    <w:rPr>
                      <w:rFonts w:eastAsia="宋体" w:cs="Times New Roman"/>
                      <w:sz w:val="21"/>
                      <w:szCs w:val="21"/>
                    </w:rPr>
                    <w:t>.19</w:t>
                  </w:r>
                </w:p>
              </w:tc>
              <w:tc>
                <w:tcPr>
                  <w:tcW w:w="77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袋式除尘</w:t>
                  </w:r>
                </w:p>
              </w:tc>
              <w:tc>
                <w:tcPr>
                  <w:tcW w:w="776"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9</w:t>
                  </w:r>
                  <w:r>
                    <w:rPr>
                      <w:rFonts w:eastAsia="宋体" w:cs="Times New Roman"/>
                      <w:sz w:val="21"/>
                      <w:szCs w:val="21"/>
                    </w:rPr>
                    <w:t>9</w:t>
                  </w:r>
                </w:p>
              </w:tc>
            </w:tr>
          </w:tbl>
          <w:p>
            <w:pPr>
              <w:ind w:firstLine="480" w:firstLineChars="200"/>
              <w:rPr>
                <w:rFonts w:eastAsia="宋体" w:cs="Times New Roman"/>
                <w:kern w:val="0"/>
                <w:lang w:bidi="ar"/>
              </w:rPr>
            </w:pPr>
            <w:r>
              <w:rPr>
                <w:rFonts w:hint="eastAsia" w:eastAsia="宋体" w:cs="Times New Roman"/>
                <w:kern w:val="0"/>
                <w:lang w:bidi="ar"/>
              </w:rPr>
              <w:t>本项目重晶石矿原料只进行一次破碎、筛分，需要破碎、筛分的重晶石矿物料总量为2</w:t>
            </w:r>
            <w:r>
              <w:rPr>
                <w:rFonts w:eastAsia="宋体" w:cs="Times New Roman"/>
                <w:kern w:val="0"/>
                <w:lang w:bidi="ar"/>
              </w:rPr>
              <w:t>0</w:t>
            </w:r>
            <w:r>
              <w:rPr>
                <w:rFonts w:hint="eastAsia" w:eastAsia="宋体" w:cs="Times New Roman"/>
                <w:kern w:val="0"/>
                <w:lang w:bidi="ar"/>
              </w:rPr>
              <w:t>万t/a，则破碎工序粉尘产生量为</w:t>
            </w:r>
            <w:r>
              <w:rPr>
                <w:rFonts w:eastAsia="宋体" w:cs="Times New Roman"/>
                <w:kern w:val="0"/>
                <w:lang w:bidi="ar"/>
              </w:rPr>
              <w:t>226/a</w:t>
            </w:r>
            <w:r>
              <w:rPr>
                <w:rFonts w:hint="eastAsia" w:eastAsia="宋体" w:cs="Times New Roman"/>
                <w:kern w:val="0"/>
                <w:lang w:bidi="ar"/>
              </w:rPr>
              <w:t>，筛分工序粉尘产生量为</w:t>
            </w:r>
            <w:r>
              <w:rPr>
                <w:rFonts w:eastAsia="宋体" w:cs="Times New Roman"/>
                <w:kern w:val="0"/>
                <w:lang w:bidi="ar"/>
              </w:rPr>
              <w:t>226t/a</w:t>
            </w:r>
            <w:r>
              <w:rPr>
                <w:rFonts w:hint="eastAsia" w:eastAsia="宋体" w:cs="Times New Roman"/>
                <w:kern w:val="0"/>
                <w:lang w:bidi="ar"/>
              </w:rPr>
              <w:t>。</w:t>
            </w:r>
          </w:p>
          <w:p>
            <w:pPr>
              <w:ind w:firstLine="480" w:firstLineChars="200"/>
              <w:rPr>
                <w:rFonts w:eastAsia="宋体" w:cs="Times New Roman"/>
                <w:kern w:val="0"/>
                <w:lang w:bidi="ar"/>
              </w:rPr>
            </w:pPr>
            <w:r>
              <w:rPr>
                <w:rFonts w:hint="eastAsia" w:eastAsia="宋体" w:cs="Times New Roman"/>
                <w:kern w:val="0"/>
                <w:lang w:bidi="ar"/>
              </w:rPr>
              <w:t>破碎、筛分设备在运行过程中均处于封闭状态，故运行期间粉尘的排放可忽略，在设备运行结束后开启设备顶盖时，大部分进入下道工序，会有少量粉尘逸散而出（以4</w:t>
            </w:r>
            <w:r>
              <w:rPr>
                <w:rFonts w:eastAsia="宋体" w:cs="Times New Roman"/>
                <w:kern w:val="0"/>
                <w:lang w:bidi="ar"/>
              </w:rPr>
              <w:t>0%</w:t>
            </w:r>
            <w:r>
              <w:rPr>
                <w:rFonts w:hint="eastAsia" w:eastAsia="宋体" w:cs="Times New Roman"/>
                <w:kern w:val="0"/>
                <w:lang w:bidi="ar"/>
              </w:rPr>
              <w:t>计），则破碎、筛分工序逸散粉尘的产生量为</w:t>
            </w:r>
            <w:r>
              <w:rPr>
                <w:rFonts w:eastAsia="宋体" w:cs="Times New Roman"/>
                <w:kern w:val="0"/>
                <w:lang w:bidi="ar"/>
              </w:rPr>
              <w:t>90.4t/a</w:t>
            </w:r>
            <w:r>
              <w:rPr>
                <w:rFonts w:hint="eastAsia" w:eastAsia="宋体" w:cs="Times New Roman"/>
                <w:kern w:val="0"/>
                <w:lang w:bidi="ar"/>
              </w:rPr>
              <w:t>。</w:t>
            </w:r>
          </w:p>
          <w:p>
            <w:pPr>
              <w:ind w:firstLine="480" w:firstLineChars="200"/>
              <w:rPr>
                <w:rFonts w:eastAsia="宋体" w:cs="Times New Roman"/>
              </w:rPr>
            </w:pPr>
            <w:r>
              <w:rPr>
                <w:rFonts w:hint="eastAsia" w:eastAsia="宋体" w:cs="Times New Roman"/>
                <w:kern w:val="0"/>
                <w:lang w:bidi="ar"/>
              </w:rPr>
              <w:t>环评建议在破碎机、筛分机上方加装集气罩，收集效率以9</w:t>
            </w:r>
            <w:r>
              <w:rPr>
                <w:rFonts w:eastAsia="宋体" w:cs="Times New Roman"/>
                <w:kern w:val="0"/>
                <w:lang w:bidi="ar"/>
              </w:rPr>
              <w:t>0%</w:t>
            </w:r>
            <w:r>
              <w:rPr>
                <w:rFonts w:hint="eastAsia" w:eastAsia="宋体" w:cs="Times New Roman"/>
                <w:kern w:val="0"/>
                <w:lang w:bidi="ar"/>
              </w:rPr>
              <w:t>计，粉尘经集气罩收集后，通过袋式除尘器（处理效率以99%计）处理后经15m高排气筒（DA001）排放，风机风量为15000m</w:t>
            </w:r>
            <w:r>
              <w:rPr>
                <w:rFonts w:hint="eastAsia" w:eastAsia="宋体" w:cs="Times New Roman"/>
                <w:kern w:val="0"/>
                <w:vertAlign w:val="superscript"/>
                <w:lang w:bidi="ar"/>
              </w:rPr>
              <w:t>3</w:t>
            </w:r>
            <w:r>
              <w:rPr>
                <w:rFonts w:hint="eastAsia" w:eastAsia="宋体" w:cs="Times New Roman"/>
                <w:kern w:val="0"/>
                <w:lang w:bidi="ar"/>
              </w:rPr>
              <w:t>/h。则破碎、筛分工序粉尘有组织排放量为0</w:t>
            </w:r>
            <w:r>
              <w:rPr>
                <w:rFonts w:eastAsia="宋体" w:cs="Times New Roman"/>
                <w:kern w:val="0"/>
                <w:lang w:bidi="ar"/>
              </w:rPr>
              <w:t>.81t/a</w:t>
            </w:r>
            <w:r>
              <w:rPr>
                <w:rFonts w:hint="eastAsia" w:eastAsia="宋体" w:cs="Times New Roman"/>
                <w:kern w:val="0"/>
                <w:lang w:bidi="ar"/>
              </w:rPr>
              <w:t>，破碎筛分工序年运行时间1</w:t>
            </w:r>
            <w:r>
              <w:rPr>
                <w:rFonts w:eastAsia="宋体" w:cs="Times New Roman"/>
                <w:kern w:val="0"/>
                <w:lang w:bidi="ar"/>
              </w:rPr>
              <w:t>800h</w:t>
            </w:r>
            <w:r>
              <w:rPr>
                <w:rFonts w:hint="eastAsia" w:eastAsia="宋体" w:cs="Times New Roman"/>
                <w:kern w:val="0"/>
                <w:lang w:bidi="ar"/>
              </w:rPr>
              <w:t>，</w:t>
            </w:r>
            <w:r>
              <w:rPr>
                <w:rFonts w:eastAsia="宋体" w:cs="Times New Roman"/>
              </w:rPr>
              <w:t>则该环节</w:t>
            </w:r>
            <w:r>
              <w:rPr>
                <w:rFonts w:hint="eastAsia" w:eastAsia="宋体" w:cs="Times New Roman"/>
              </w:rPr>
              <w:t>有</w:t>
            </w:r>
            <w:r>
              <w:rPr>
                <w:rFonts w:eastAsia="宋体" w:cs="Times New Roman"/>
              </w:rPr>
              <w:t>组织排放的粉尘为0.9t/a</w:t>
            </w:r>
            <w:r>
              <w:rPr>
                <w:rFonts w:hint="eastAsia" w:eastAsia="宋体" w:cs="Times New Roman"/>
              </w:rPr>
              <w:t>，排放速率0</w:t>
            </w:r>
            <w:r>
              <w:rPr>
                <w:rFonts w:eastAsia="宋体" w:cs="Times New Roman"/>
              </w:rPr>
              <w:t>.452kg/h</w:t>
            </w:r>
            <w:r>
              <w:rPr>
                <w:rFonts w:hint="eastAsia" w:eastAsia="宋体" w:cs="Times New Roman"/>
              </w:rPr>
              <w:t>，排放浓度为2</w:t>
            </w:r>
            <w:r>
              <w:rPr>
                <w:rFonts w:eastAsia="宋体" w:cs="Times New Roman"/>
              </w:rPr>
              <w:t>2.6mg/m</w:t>
            </w:r>
            <w:r>
              <w:rPr>
                <w:rFonts w:eastAsia="宋体" w:cs="Times New Roman"/>
                <w:vertAlign w:val="superscript"/>
              </w:rPr>
              <w:t>3</w:t>
            </w:r>
            <w:r>
              <w:rPr>
                <w:rFonts w:hint="eastAsia" w:eastAsia="宋体" w:cs="Times New Roman"/>
              </w:rPr>
              <w:t>。DA</w:t>
            </w:r>
            <w:r>
              <w:rPr>
                <w:rFonts w:eastAsia="宋体" w:cs="Times New Roman"/>
              </w:rPr>
              <w:t>001</w:t>
            </w:r>
            <w:r>
              <w:rPr>
                <w:rFonts w:hint="eastAsia" w:eastAsia="宋体" w:cs="Times New Roman"/>
              </w:rPr>
              <w:t>排气筒废气的排放可满足《大气污染物综合排放标准》（GB16297-1996）表2中的标准要求。</w:t>
            </w:r>
          </w:p>
          <w:p>
            <w:pPr>
              <w:ind w:firstLine="480" w:firstLineChars="200"/>
              <w:rPr>
                <w:rFonts w:eastAsia="宋体" w:cs="Times New Roman"/>
              </w:rPr>
            </w:pPr>
            <w:r>
              <w:rPr>
                <w:rFonts w:hint="eastAsia" w:eastAsia="宋体" w:cs="Times New Roman"/>
                <w:kern w:val="0"/>
                <w:lang w:bidi="ar"/>
              </w:rPr>
              <w:t>本项目</w:t>
            </w:r>
            <w:r>
              <w:rPr>
                <w:rFonts w:eastAsia="宋体" w:cs="Times New Roman"/>
                <w:kern w:val="0"/>
                <w:lang w:bidi="ar"/>
              </w:rPr>
              <w:t>所有生产设备均置于密闭厂房内，厂房顶部</w:t>
            </w:r>
            <w:r>
              <w:rPr>
                <w:rFonts w:eastAsia="宋体" w:cs="Times New Roman"/>
              </w:rPr>
              <w:t>配套安装洒水喷头，保证定时洒水抑尘，可有效抑制90%的粉尘产生，</w:t>
            </w:r>
            <w:r>
              <w:rPr>
                <w:rFonts w:hint="eastAsia" w:eastAsia="宋体" w:cs="Times New Roman"/>
              </w:rPr>
              <w:t>则无组织排放量为0.9t/a。</w:t>
            </w:r>
          </w:p>
          <w:p>
            <w:pPr>
              <w:autoSpaceDE w:val="0"/>
              <w:autoSpaceDN w:val="0"/>
              <w:adjustRightInd w:val="0"/>
              <w:ind w:firstLine="480" w:firstLineChars="200"/>
              <w:rPr>
                <w:rFonts w:eastAsia="宋体" w:cs="Times New Roman"/>
              </w:rPr>
            </w:pPr>
            <w:r>
              <w:rPr>
                <w:rFonts w:hint="eastAsia" w:eastAsia="宋体" w:cs="Times New Roman"/>
              </w:rPr>
              <w:t>本项目需要研磨的重晶石原料经破碎、筛分后，靠重力滑落至研磨机内。由于滑落管道为全密闭结构，物料靠重力滑落至研磨机内产生的粉尘仍在设备内部。故此工序无粉尘外排。</w:t>
            </w:r>
          </w:p>
          <w:p>
            <w:pPr>
              <w:ind w:firstLine="480" w:firstLineChars="200"/>
              <w:rPr>
                <w:rFonts w:eastAsia="宋体" w:cs="Times New Roman"/>
              </w:rPr>
            </w:pPr>
            <w:r>
              <w:rPr>
                <w:rFonts w:hint="eastAsia" w:eastAsia="宋体" w:cs="Times New Roman"/>
              </w:rPr>
              <w:t>研磨机在</w:t>
            </w:r>
            <w:r>
              <w:rPr>
                <w:rFonts w:eastAsia="宋体" w:cs="Times New Roman"/>
                <w:kern w:val="0"/>
                <w:lang w:bidi="ar"/>
              </w:rPr>
              <w:t>研磨过程中设备为全封闭状态，</w:t>
            </w:r>
            <w:r>
              <w:rPr>
                <w:rFonts w:hint="eastAsia" w:eastAsia="宋体" w:cs="Times New Roman"/>
                <w:kern w:val="0"/>
                <w:lang w:bidi="ar"/>
              </w:rPr>
              <w:t>研磨后</w:t>
            </w:r>
            <w:r>
              <w:rPr>
                <w:rFonts w:eastAsia="宋体" w:cs="Times New Roman"/>
                <w:spacing w:val="2"/>
              </w:rPr>
              <w:t>的石粉被风机气流带走，粉料气流经管道进入旋风收</w:t>
            </w:r>
            <w:r>
              <w:rPr>
                <w:rFonts w:eastAsia="宋体" w:cs="Times New Roman"/>
              </w:rPr>
              <w:t>集器内，</w:t>
            </w:r>
            <w:r>
              <w:rPr>
                <w:rFonts w:hint="eastAsia" w:eastAsia="宋体" w:cs="Times New Roman"/>
              </w:rPr>
              <w:t>粒径合格的产品从旋风收集器下方出口处排出，粒径较小的粉尘从旋风收集器上方通过风管进入袋式除尘器</w:t>
            </w:r>
            <w:r>
              <w:rPr>
                <w:rFonts w:eastAsia="宋体" w:cs="Times New Roman"/>
              </w:rPr>
              <w:t>。</w:t>
            </w:r>
            <w:r>
              <w:rPr>
                <w:rFonts w:hint="eastAsia" w:eastAsia="宋体" w:cs="Times New Roman"/>
              </w:rPr>
              <w:t>本项目</w:t>
            </w:r>
            <w:r>
              <w:rPr>
                <w:rFonts w:hint="eastAsia" w:eastAsia="宋体" w:cs="Times New Roman"/>
                <w:kern w:val="0"/>
                <w:lang w:bidi="ar"/>
              </w:rPr>
              <w:t>需要磨粉的重晶石矿物料总量为20万t/a，则磨粉工序粉尘产生量为238</w:t>
            </w:r>
            <w:r>
              <w:rPr>
                <w:rFonts w:eastAsia="宋体" w:cs="Times New Roman"/>
                <w:kern w:val="0"/>
                <w:lang w:bidi="ar"/>
              </w:rPr>
              <w:t>t/a</w:t>
            </w:r>
            <w:r>
              <w:rPr>
                <w:rFonts w:hint="eastAsia" w:eastAsia="宋体" w:cs="Times New Roman"/>
                <w:kern w:val="0"/>
                <w:lang w:bidi="ar"/>
              </w:rPr>
              <w:t>，本项目共设置4个磨粉机，分别配套有</w:t>
            </w:r>
            <w:r>
              <w:rPr>
                <w:rFonts w:eastAsia="宋体" w:cs="Times New Roman"/>
                <w:kern w:val="0"/>
                <w:lang w:bidi="ar"/>
              </w:rPr>
              <w:t>1</w:t>
            </w:r>
            <w:r>
              <w:rPr>
                <w:rFonts w:hint="eastAsia" w:eastAsia="宋体" w:cs="Times New Roman"/>
                <w:kern w:val="0"/>
                <w:lang w:bidi="ar"/>
              </w:rPr>
              <w:t>个除尘器，风量均为8</w:t>
            </w:r>
            <w:r>
              <w:rPr>
                <w:rFonts w:eastAsia="宋体" w:cs="Times New Roman"/>
                <w:kern w:val="0"/>
                <w:lang w:bidi="ar"/>
              </w:rPr>
              <w:t>000m</w:t>
            </w:r>
            <w:r>
              <w:rPr>
                <w:rFonts w:eastAsia="宋体" w:cs="Times New Roman"/>
                <w:kern w:val="0"/>
                <w:vertAlign w:val="superscript"/>
                <w:lang w:bidi="ar"/>
              </w:rPr>
              <w:t>3</w:t>
            </w:r>
            <w:r>
              <w:rPr>
                <w:rFonts w:hint="eastAsia" w:eastAsia="宋体" w:cs="Times New Roman"/>
                <w:kern w:val="0"/>
                <w:lang w:bidi="ar"/>
              </w:rPr>
              <w:t>/</w:t>
            </w:r>
            <w:r>
              <w:rPr>
                <w:rFonts w:eastAsia="宋体" w:cs="Times New Roman"/>
                <w:kern w:val="0"/>
                <w:lang w:bidi="ar"/>
              </w:rPr>
              <w:t>h</w:t>
            </w:r>
            <w:r>
              <w:rPr>
                <w:rFonts w:hint="eastAsia" w:eastAsia="宋体" w:cs="Times New Roman"/>
                <w:kern w:val="0"/>
                <w:lang w:bidi="ar"/>
              </w:rPr>
              <w:t>，合计总风量为3</w:t>
            </w:r>
            <w:r>
              <w:rPr>
                <w:rFonts w:eastAsia="宋体" w:cs="Times New Roman"/>
                <w:kern w:val="0"/>
                <w:lang w:bidi="ar"/>
              </w:rPr>
              <w:t>2000m</w:t>
            </w:r>
            <w:r>
              <w:rPr>
                <w:rFonts w:eastAsia="宋体" w:cs="Times New Roman"/>
                <w:kern w:val="0"/>
                <w:vertAlign w:val="superscript"/>
                <w:lang w:bidi="ar"/>
              </w:rPr>
              <w:t>3</w:t>
            </w:r>
            <w:r>
              <w:rPr>
                <w:rFonts w:hint="eastAsia" w:eastAsia="宋体" w:cs="Times New Roman"/>
                <w:kern w:val="0"/>
                <w:lang w:bidi="ar"/>
              </w:rPr>
              <w:t>/</w:t>
            </w:r>
            <w:r>
              <w:rPr>
                <w:rFonts w:eastAsia="宋体" w:cs="Times New Roman"/>
                <w:kern w:val="0"/>
                <w:lang w:bidi="ar"/>
              </w:rPr>
              <w:t>h</w:t>
            </w:r>
            <w:r>
              <w:rPr>
                <w:rFonts w:hint="eastAsia" w:eastAsia="宋体" w:cs="Times New Roman"/>
                <w:kern w:val="0"/>
                <w:lang w:bidi="ar"/>
              </w:rPr>
              <w:t>，袋式除尘器处理效率以9</w:t>
            </w:r>
            <w:r>
              <w:rPr>
                <w:rFonts w:eastAsia="宋体" w:cs="Times New Roman"/>
                <w:kern w:val="0"/>
                <w:lang w:bidi="ar"/>
              </w:rPr>
              <w:t>9%</w:t>
            </w:r>
            <w:r>
              <w:rPr>
                <w:rFonts w:hint="eastAsia" w:eastAsia="宋体" w:cs="Times New Roman"/>
                <w:kern w:val="0"/>
                <w:lang w:bidi="ar"/>
              </w:rPr>
              <w:t>计，则磨粉工序有组织排放量为2.38</w:t>
            </w:r>
            <w:r>
              <w:rPr>
                <w:rFonts w:eastAsia="宋体" w:cs="Times New Roman"/>
                <w:kern w:val="0"/>
                <w:lang w:bidi="ar"/>
              </w:rPr>
              <w:t>t/a</w:t>
            </w:r>
            <w:r>
              <w:rPr>
                <w:rFonts w:hint="eastAsia" w:eastAsia="宋体" w:cs="Times New Roman"/>
                <w:kern w:val="0"/>
                <w:lang w:bidi="ar"/>
              </w:rPr>
              <w:t>，排放浓度为41.3</w:t>
            </w:r>
            <w:r>
              <w:rPr>
                <w:rFonts w:eastAsia="宋体" w:cs="Times New Roman"/>
                <w:kern w:val="0"/>
                <w:lang w:bidi="ar"/>
              </w:rPr>
              <w:t>mg/m</w:t>
            </w:r>
            <w:r>
              <w:rPr>
                <w:rFonts w:eastAsia="宋体" w:cs="Times New Roman"/>
                <w:kern w:val="0"/>
                <w:vertAlign w:val="superscript"/>
                <w:lang w:bidi="ar"/>
              </w:rPr>
              <w:t>3</w:t>
            </w:r>
            <w:r>
              <w:rPr>
                <w:rFonts w:hint="eastAsia" w:eastAsia="宋体" w:cs="Times New Roman"/>
                <w:kern w:val="0"/>
                <w:lang w:bidi="ar"/>
              </w:rPr>
              <w:t>，磨粉工序年运行1</w:t>
            </w:r>
            <w:r>
              <w:rPr>
                <w:rFonts w:eastAsia="宋体" w:cs="Times New Roman"/>
                <w:kern w:val="0"/>
                <w:lang w:bidi="ar"/>
              </w:rPr>
              <w:t>800h</w:t>
            </w:r>
            <w:r>
              <w:rPr>
                <w:rFonts w:hint="eastAsia" w:eastAsia="宋体" w:cs="Times New Roman"/>
                <w:kern w:val="0"/>
                <w:lang w:bidi="ar"/>
              </w:rPr>
              <w:t>，则磨粉工序粉尘排放速率为1.32</w:t>
            </w:r>
            <w:r>
              <w:rPr>
                <w:rFonts w:eastAsia="宋体" w:cs="Times New Roman"/>
                <w:kern w:val="0"/>
                <w:lang w:bidi="ar"/>
              </w:rPr>
              <w:t>kg/h</w:t>
            </w:r>
            <w:r>
              <w:rPr>
                <w:rFonts w:hint="eastAsia" w:eastAsia="宋体" w:cs="Times New Roman"/>
                <w:kern w:val="0"/>
                <w:lang w:bidi="ar"/>
              </w:rPr>
              <w:t>。</w:t>
            </w:r>
            <w:r>
              <w:rPr>
                <w:rFonts w:hint="eastAsia" w:eastAsia="宋体" w:cs="Times New Roman"/>
              </w:rPr>
              <w:t>DA</w:t>
            </w:r>
            <w:r>
              <w:rPr>
                <w:rFonts w:eastAsia="宋体" w:cs="Times New Roman"/>
              </w:rPr>
              <w:t>002</w:t>
            </w:r>
            <w:r>
              <w:rPr>
                <w:rFonts w:hint="eastAsia" w:eastAsia="宋体" w:cs="Times New Roman"/>
              </w:rPr>
              <w:t>排气筒废气的排放可满足《大气污染物综合排放标准》（GB16297-1996）表2中的标准要求。</w:t>
            </w:r>
          </w:p>
          <w:p>
            <w:pPr>
              <w:pStyle w:val="2"/>
              <w:ind w:firstLine="480" w:firstLineChars="200"/>
              <w:outlineLvl w:val="1"/>
              <w:rPr>
                <w:rFonts w:ascii="Times New Roman" w:hAnsi="Times New Roman" w:eastAsia="宋体" w:cs="Times New Roman"/>
                <w:b w:val="0"/>
                <w:bCs w:val="0"/>
                <w:szCs w:val="22"/>
              </w:rPr>
            </w:pPr>
            <w:r>
              <w:rPr>
                <w:rFonts w:hint="eastAsia" w:ascii="Times New Roman" w:hAnsi="Times New Roman" w:eastAsia="宋体" w:cs="Times New Roman"/>
                <w:b w:val="0"/>
                <w:bCs w:val="0"/>
                <w:szCs w:val="22"/>
              </w:rPr>
              <w:t>②石英砂加工生产线</w:t>
            </w:r>
          </w:p>
          <w:p>
            <w:pPr>
              <w:ind w:firstLine="480" w:firstLineChars="200"/>
              <w:rPr>
                <w:rFonts w:eastAsia="宋体" w:cs="Times New Roman"/>
              </w:rPr>
            </w:pPr>
            <w:r>
              <w:rPr>
                <w:rFonts w:hint="eastAsia" w:eastAsia="宋体" w:cs="Times New Roman"/>
              </w:rPr>
              <w:t>根据《逸散性工业粉尘控制技术》中“粒料加工厂逸散尘的排放因子”，一级破碎和筛分工序粉尘产生系数为0</w:t>
            </w:r>
            <w:r>
              <w:rPr>
                <w:rFonts w:eastAsia="宋体" w:cs="Times New Roman"/>
              </w:rPr>
              <w:t>.25kg/t</w:t>
            </w:r>
            <w:r>
              <w:rPr>
                <w:rFonts w:hint="eastAsia" w:eastAsia="宋体" w:cs="Times New Roman"/>
              </w:rPr>
              <w:t>（破碎料），二级破碎和筛分工序粉尘产生系数为0</w:t>
            </w:r>
            <w:r>
              <w:rPr>
                <w:rFonts w:eastAsia="宋体" w:cs="Times New Roman"/>
              </w:rPr>
              <w:t>.75kg/t</w:t>
            </w:r>
            <w:r>
              <w:rPr>
                <w:rFonts w:hint="eastAsia" w:eastAsia="宋体" w:cs="Times New Roman"/>
              </w:rPr>
              <w:t>（破碎料）。</w:t>
            </w:r>
          </w:p>
          <w:p>
            <w:pPr>
              <w:pStyle w:val="2"/>
              <w:ind w:firstLine="480" w:firstLineChars="200"/>
              <w:outlineLvl w:val="1"/>
              <w:rPr>
                <w:rFonts w:ascii="Times New Roman" w:hAnsi="Times New Roman" w:eastAsia="宋体" w:cs="Times New Roman"/>
                <w:b w:val="0"/>
                <w:bCs w:val="0"/>
                <w:szCs w:val="22"/>
              </w:rPr>
            </w:pPr>
            <w:r>
              <w:rPr>
                <w:rFonts w:hint="eastAsia" w:ascii="Times New Roman" w:hAnsi="Times New Roman" w:eastAsia="宋体" w:cs="Times New Roman"/>
                <w:b w:val="0"/>
                <w:bCs w:val="0"/>
                <w:szCs w:val="22"/>
              </w:rPr>
              <w:t>本项目年加工1</w:t>
            </w:r>
            <w:r>
              <w:rPr>
                <w:rFonts w:ascii="Times New Roman" w:hAnsi="Times New Roman" w:eastAsia="宋体" w:cs="Times New Roman"/>
                <w:b w:val="0"/>
                <w:bCs w:val="0"/>
                <w:szCs w:val="22"/>
              </w:rPr>
              <w:t>0</w:t>
            </w:r>
            <w:r>
              <w:rPr>
                <w:rFonts w:hint="eastAsia" w:ascii="Times New Roman" w:hAnsi="Times New Roman" w:eastAsia="宋体" w:cs="Times New Roman"/>
                <w:b w:val="0"/>
                <w:bCs w:val="0"/>
                <w:szCs w:val="22"/>
              </w:rPr>
              <w:t>万吨石英砂物料，则一级破碎筛分工序产生的粉尘为2</w:t>
            </w:r>
            <w:r>
              <w:rPr>
                <w:rFonts w:ascii="Times New Roman" w:hAnsi="Times New Roman" w:eastAsia="宋体" w:cs="Times New Roman"/>
                <w:b w:val="0"/>
                <w:bCs w:val="0"/>
                <w:szCs w:val="22"/>
              </w:rPr>
              <w:t>5t</w:t>
            </w:r>
            <w:r>
              <w:rPr>
                <w:rFonts w:hint="eastAsia" w:ascii="Times New Roman" w:hAnsi="Times New Roman" w:eastAsia="宋体" w:cs="Times New Roman"/>
                <w:b w:val="0"/>
                <w:bCs w:val="0"/>
                <w:szCs w:val="22"/>
              </w:rPr>
              <w:t>/</w:t>
            </w:r>
            <w:r>
              <w:rPr>
                <w:rFonts w:ascii="Times New Roman" w:hAnsi="Times New Roman" w:eastAsia="宋体" w:cs="Times New Roman"/>
                <w:b w:val="0"/>
                <w:bCs w:val="0"/>
                <w:szCs w:val="22"/>
              </w:rPr>
              <w:t>a</w:t>
            </w:r>
            <w:r>
              <w:rPr>
                <w:rFonts w:hint="eastAsia" w:ascii="Times New Roman" w:hAnsi="Times New Roman" w:eastAsia="宋体" w:cs="Times New Roman"/>
                <w:b w:val="0"/>
                <w:bCs w:val="0"/>
                <w:szCs w:val="22"/>
              </w:rPr>
              <w:t>，一级破碎筛分工序产生的粉尘为</w:t>
            </w:r>
            <w:r>
              <w:rPr>
                <w:rFonts w:ascii="Times New Roman" w:hAnsi="Times New Roman" w:eastAsia="宋体" w:cs="Times New Roman"/>
                <w:b w:val="0"/>
                <w:bCs w:val="0"/>
                <w:szCs w:val="22"/>
              </w:rPr>
              <w:t>75t</w:t>
            </w:r>
            <w:r>
              <w:rPr>
                <w:rFonts w:hint="eastAsia" w:ascii="Times New Roman" w:hAnsi="Times New Roman" w:eastAsia="宋体" w:cs="Times New Roman"/>
                <w:b w:val="0"/>
                <w:bCs w:val="0"/>
                <w:szCs w:val="22"/>
              </w:rPr>
              <w:t>/</w:t>
            </w:r>
            <w:r>
              <w:rPr>
                <w:rFonts w:ascii="Times New Roman" w:hAnsi="Times New Roman" w:eastAsia="宋体" w:cs="Times New Roman"/>
                <w:b w:val="0"/>
                <w:bCs w:val="0"/>
                <w:szCs w:val="22"/>
              </w:rPr>
              <w:t>a</w:t>
            </w:r>
            <w:r>
              <w:rPr>
                <w:rFonts w:hint="eastAsia" w:ascii="Times New Roman" w:hAnsi="Times New Roman" w:eastAsia="宋体" w:cs="Times New Roman"/>
                <w:b w:val="0"/>
                <w:bCs w:val="0"/>
                <w:szCs w:val="22"/>
              </w:rPr>
              <w:t>，合计粉尘量为1</w:t>
            </w:r>
            <w:r>
              <w:rPr>
                <w:rFonts w:ascii="Times New Roman" w:hAnsi="Times New Roman" w:eastAsia="宋体" w:cs="Times New Roman"/>
                <w:b w:val="0"/>
                <w:bCs w:val="0"/>
                <w:szCs w:val="22"/>
              </w:rPr>
              <w:t>00t/a</w:t>
            </w:r>
            <w:r>
              <w:rPr>
                <w:rFonts w:hint="eastAsia" w:ascii="Times New Roman" w:hAnsi="Times New Roman" w:eastAsia="宋体" w:cs="Times New Roman"/>
                <w:b w:val="0"/>
                <w:bCs w:val="0"/>
                <w:szCs w:val="22"/>
              </w:rPr>
              <w:t>。</w:t>
            </w:r>
          </w:p>
          <w:p>
            <w:pPr>
              <w:pStyle w:val="2"/>
              <w:ind w:firstLine="480" w:firstLineChars="200"/>
              <w:outlineLvl w:val="1"/>
              <w:rPr>
                <w:rFonts w:ascii="Times New Roman" w:hAnsi="Times New Roman" w:eastAsia="宋体" w:cs="Times New Roman"/>
                <w:b w:val="0"/>
                <w:bCs w:val="0"/>
                <w:szCs w:val="22"/>
              </w:rPr>
            </w:pPr>
            <w:r>
              <w:rPr>
                <w:rFonts w:hint="eastAsia" w:ascii="Times New Roman" w:hAnsi="Times New Roman" w:eastAsia="宋体" w:cs="Times New Roman"/>
                <w:b w:val="0"/>
                <w:bCs w:val="0"/>
                <w:szCs w:val="22"/>
              </w:rPr>
              <w:t>环评建议在破碎机、筛分机上方加装集气罩，收集效率以90%计，粉尘经集气罩收集后，通过袋式除尘器（处理效率以99%计）处理后经15m高排气筒（DA00</w:t>
            </w:r>
            <w:r>
              <w:rPr>
                <w:rFonts w:ascii="Times New Roman" w:hAnsi="Times New Roman" w:eastAsia="宋体" w:cs="Times New Roman"/>
                <w:b w:val="0"/>
                <w:bCs w:val="0"/>
                <w:szCs w:val="22"/>
              </w:rPr>
              <w:t>3</w:t>
            </w:r>
            <w:r>
              <w:rPr>
                <w:rFonts w:hint="eastAsia" w:ascii="Times New Roman" w:hAnsi="Times New Roman" w:eastAsia="宋体" w:cs="Times New Roman"/>
                <w:b w:val="0"/>
                <w:bCs w:val="0"/>
                <w:szCs w:val="22"/>
              </w:rPr>
              <w:t>）排放，风机风量为15000m</w:t>
            </w:r>
            <w:r>
              <w:rPr>
                <w:rFonts w:hint="eastAsia" w:ascii="Times New Roman" w:hAnsi="Times New Roman" w:eastAsia="宋体" w:cs="Times New Roman"/>
                <w:b w:val="0"/>
                <w:bCs w:val="0"/>
                <w:szCs w:val="22"/>
                <w:vertAlign w:val="superscript"/>
              </w:rPr>
              <w:t>3</w:t>
            </w:r>
            <w:r>
              <w:rPr>
                <w:rFonts w:hint="eastAsia" w:ascii="Times New Roman" w:hAnsi="Times New Roman" w:eastAsia="宋体" w:cs="Times New Roman"/>
                <w:b w:val="0"/>
                <w:bCs w:val="0"/>
                <w:szCs w:val="22"/>
              </w:rPr>
              <w:t>/h。有组织排放量为0</w:t>
            </w:r>
            <w:r>
              <w:rPr>
                <w:rFonts w:ascii="Times New Roman" w:hAnsi="Times New Roman" w:eastAsia="宋体" w:cs="Times New Roman"/>
                <w:b w:val="0"/>
                <w:bCs w:val="0"/>
                <w:szCs w:val="22"/>
              </w:rPr>
              <w:t>.9</w:t>
            </w:r>
            <w:r>
              <w:rPr>
                <w:rFonts w:hint="eastAsia" w:ascii="Times New Roman" w:hAnsi="Times New Roman" w:eastAsia="宋体" w:cs="Times New Roman"/>
                <w:b w:val="0"/>
                <w:bCs w:val="0"/>
                <w:szCs w:val="22"/>
              </w:rPr>
              <w:t>t/a，排放浓度为3</w:t>
            </w:r>
            <w:r>
              <w:rPr>
                <w:rFonts w:ascii="Times New Roman" w:hAnsi="Times New Roman" w:eastAsia="宋体" w:cs="Times New Roman"/>
                <w:b w:val="0"/>
                <w:bCs w:val="0"/>
                <w:szCs w:val="22"/>
              </w:rPr>
              <w:t>0mg/m</w:t>
            </w:r>
            <w:r>
              <w:rPr>
                <w:rFonts w:ascii="Times New Roman" w:hAnsi="Times New Roman" w:eastAsia="宋体" w:cs="Times New Roman"/>
                <w:b w:val="0"/>
                <w:bCs w:val="0"/>
                <w:szCs w:val="22"/>
                <w:vertAlign w:val="superscript"/>
              </w:rPr>
              <w:t>3</w:t>
            </w:r>
            <w:r>
              <w:rPr>
                <w:rFonts w:hint="eastAsia" w:ascii="Times New Roman" w:hAnsi="Times New Roman" w:eastAsia="宋体" w:cs="Times New Roman"/>
                <w:b w:val="0"/>
                <w:bCs w:val="0"/>
                <w:szCs w:val="22"/>
              </w:rPr>
              <w:t>，排放速率为0</w:t>
            </w:r>
            <w:r>
              <w:rPr>
                <w:rFonts w:ascii="Times New Roman" w:hAnsi="Times New Roman" w:eastAsia="宋体" w:cs="Times New Roman"/>
                <w:b w:val="0"/>
                <w:bCs w:val="0"/>
                <w:szCs w:val="22"/>
              </w:rPr>
              <w:t>.45kg/h</w:t>
            </w:r>
            <w:r>
              <w:rPr>
                <w:rFonts w:hint="eastAsia" w:ascii="Times New Roman" w:hAnsi="Times New Roman" w:eastAsia="宋体" w:cs="Times New Roman"/>
                <w:b w:val="0"/>
                <w:bCs w:val="0"/>
                <w:szCs w:val="22"/>
              </w:rPr>
              <w:t>。</w:t>
            </w:r>
          </w:p>
          <w:p>
            <w:pPr>
              <w:pStyle w:val="2"/>
              <w:ind w:firstLine="480" w:firstLineChars="200"/>
              <w:outlineLvl w:val="1"/>
              <w:rPr>
                <w:rFonts w:ascii="Times New Roman" w:hAnsi="Times New Roman" w:eastAsia="宋体" w:cs="Times New Roman"/>
                <w:b w:val="0"/>
                <w:bCs w:val="0"/>
                <w:szCs w:val="22"/>
              </w:rPr>
            </w:pPr>
            <w:r>
              <w:rPr>
                <w:rFonts w:hint="eastAsia" w:ascii="Times New Roman" w:hAnsi="Times New Roman" w:eastAsia="宋体" w:cs="Times New Roman"/>
                <w:b w:val="0"/>
                <w:bCs w:val="0"/>
                <w:szCs w:val="22"/>
              </w:rPr>
              <w:t>石英砂加工生产线无组织粉尘产生量为1</w:t>
            </w:r>
            <w:r>
              <w:rPr>
                <w:rFonts w:ascii="Times New Roman" w:hAnsi="Times New Roman" w:eastAsia="宋体" w:cs="Times New Roman"/>
                <w:b w:val="0"/>
                <w:bCs w:val="0"/>
                <w:szCs w:val="22"/>
              </w:rPr>
              <w:t>0t/a</w:t>
            </w:r>
            <w:r>
              <w:rPr>
                <w:rFonts w:hint="eastAsia" w:ascii="Times New Roman" w:hAnsi="Times New Roman" w:eastAsia="宋体" w:cs="Times New Roman"/>
                <w:b w:val="0"/>
                <w:bCs w:val="0"/>
                <w:szCs w:val="22"/>
              </w:rPr>
              <w:t>，所有生产设备均置于密闭厂房内，厂房顶部配套安装洒水喷头，保证定时洒水抑尘，可有效抑制90%的粉尘产生，则该环节无组织排放的粉尘为</w:t>
            </w:r>
            <w:r>
              <w:rPr>
                <w:rFonts w:ascii="Times New Roman" w:hAnsi="Times New Roman" w:eastAsia="宋体" w:cs="Times New Roman"/>
                <w:b w:val="0"/>
                <w:bCs w:val="0"/>
                <w:szCs w:val="22"/>
              </w:rPr>
              <w:t>1.0</w:t>
            </w:r>
            <w:r>
              <w:rPr>
                <w:rFonts w:hint="eastAsia" w:ascii="Times New Roman" w:hAnsi="Times New Roman" w:eastAsia="宋体" w:cs="Times New Roman"/>
                <w:b w:val="0"/>
                <w:bCs w:val="0"/>
                <w:szCs w:val="22"/>
              </w:rPr>
              <w:t>t/a。</w:t>
            </w:r>
          </w:p>
          <w:p>
            <w:pPr>
              <w:pStyle w:val="2"/>
              <w:ind w:firstLine="480" w:firstLineChars="200"/>
              <w:outlineLvl w:val="1"/>
              <w:rPr>
                <w:rFonts w:ascii="Times New Roman" w:hAnsi="Times New Roman" w:eastAsia="宋体" w:cs="Times New Roman"/>
                <w:b w:val="0"/>
                <w:bCs w:val="0"/>
                <w:szCs w:val="22"/>
              </w:rPr>
            </w:pPr>
            <w:r>
              <w:rPr>
                <w:rFonts w:hint="eastAsia" w:ascii="Times New Roman" w:hAnsi="Times New Roman" w:eastAsia="宋体" w:cs="Times New Roman"/>
                <w:b w:val="0"/>
                <w:bCs w:val="0"/>
                <w:szCs w:val="22"/>
              </w:rPr>
              <w:t>（</w:t>
            </w:r>
            <w:r>
              <w:rPr>
                <w:rFonts w:ascii="Times New Roman" w:hAnsi="Times New Roman" w:eastAsia="宋体" w:cs="Times New Roman"/>
                <w:b w:val="0"/>
                <w:bCs w:val="0"/>
                <w:szCs w:val="22"/>
              </w:rPr>
              <w:t>7</w:t>
            </w:r>
            <w:r>
              <w:rPr>
                <w:rFonts w:hint="eastAsia" w:ascii="Times New Roman" w:hAnsi="Times New Roman" w:eastAsia="宋体" w:cs="Times New Roman"/>
                <w:b w:val="0"/>
                <w:bCs w:val="0"/>
                <w:szCs w:val="22"/>
              </w:rPr>
              <w:t>）搅拌粉尘排放量核算</w:t>
            </w:r>
          </w:p>
          <w:p>
            <w:pPr>
              <w:ind w:firstLine="480" w:firstLineChars="200"/>
              <w:rPr>
                <w:rFonts w:eastAsia="宋体" w:cs="Times New Roman"/>
                <w:b/>
                <w:bCs/>
              </w:rPr>
            </w:pPr>
            <w:r>
              <w:rPr>
                <w:rFonts w:eastAsia="宋体" w:cs="Times New Roman"/>
              </w:rPr>
              <w:t>搅拌过程中粉尘产生量</w:t>
            </w:r>
            <w:r>
              <w:rPr>
                <w:rFonts w:hint="eastAsia" w:eastAsia="宋体" w:cs="Times New Roman"/>
              </w:rPr>
              <w:t>参考</w:t>
            </w:r>
            <w:r>
              <w:rPr>
                <w:rFonts w:eastAsia="宋体" w:cs="Times New Roman"/>
              </w:rPr>
              <w:t>“关于发布《排放源统计调查产排污核算方法和系数手册》的</w:t>
            </w:r>
            <w:r>
              <w:rPr>
                <w:rFonts w:eastAsia="宋体" w:cs="Times New Roman"/>
                <w:szCs w:val="24"/>
              </w:rPr>
              <w:t>公告（公告2021年 第24号）”中“3021 水泥制品制造（含3022砼结构构件、3029其他水泥类似制品制造）行业系数表——物料搅拌”。</w:t>
            </w:r>
          </w:p>
          <w:p>
            <w:pPr>
              <w:spacing w:line="240" w:lineRule="auto"/>
              <w:jc w:val="center"/>
              <w:rPr>
                <w:rFonts w:eastAsia="宋体" w:cs="Times New Roman"/>
                <w:b/>
                <w:kern w:val="0"/>
                <w:sz w:val="21"/>
                <w:szCs w:val="21"/>
              </w:rPr>
            </w:pPr>
            <w:r>
              <w:rPr>
                <w:rFonts w:eastAsia="宋体" w:cs="Times New Roman"/>
                <w:b/>
                <w:bCs/>
                <w:sz w:val="21"/>
                <w:szCs w:val="21"/>
              </w:rPr>
              <w:t xml:space="preserve">表4-3 </w:t>
            </w:r>
            <w:r>
              <w:rPr>
                <w:rFonts w:eastAsia="宋体" w:cs="Times New Roman"/>
                <w:b/>
                <w:kern w:val="0"/>
                <w:sz w:val="21"/>
                <w:szCs w:val="21"/>
              </w:rPr>
              <w:t>物料混合搅拌工序产排污系数表（摘录）</w:t>
            </w:r>
          </w:p>
          <w:tbl>
            <w:tblPr>
              <w:tblStyle w:val="21"/>
              <w:tblW w:w="4995"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112"/>
              <w:gridCol w:w="743"/>
              <w:gridCol w:w="751"/>
              <w:gridCol w:w="709"/>
              <w:gridCol w:w="739"/>
              <w:gridCol w:w="678"/>
              <w:gridCol w:w="1000"/>
              <w:gridCol w:w="106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4"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产品</w:t>
                  </w:r>
                </w:p>
                <w:p>
                  <w:pPr>
                    <w:spacing w:line="240" w:lineRule="auto"/>
                    <w:jc w:val="center"/>
                    <w:rPr>
                      <w:rFonts w:eastAsia="宋体" w:cs="Times New Roman"/>
                      <w:b/>
                      <w:bCs/>
                      <w:sz w:val="21"/>
                      <w:szCs w:val="21"/>
                    </w:rPr>
                  </w:pPr>
                  <w:r>
                    <w:rPr>
                      <w:rFonts w:eastAsia="宋体" w:cs="Times New Roman"/>
                      <w:b/>
                      <w:bCs/>
                      <w:sz w:val="21"/>
                      <w:szCs w:val="21"/>
                    </w:rPr>
                    <w:t>名称</w:t>
                  </w:r>
                </w:p>
              </w:tc>
              <w:tc>
                <w:tcPr>
                  <w:tcW w:w="738"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原料名称</w:t>
                  </w:r>
                </w:p>
              </w:tc>
              <w:tc>
                <w:tcPr>
                  <w:tcW w:w="493"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工艺</w:t>
                  </w:r>
                </w:p>
                <w:p>
                  <w:pPr>
                    <w:spacing w:line="240" w:lineRule="auto"/>
                    <w:jc w:val="center"/>
                    <w:rPr>
                      <w:rFonts w:eastAsia="宋体" w:cs="Times New Roman"/>
                      <w:b/>
                      <w:bCs/>
                      <w:sz w:val="21"/>
                      <w:szCs w:val="21"/>
                    </w:rPr>
                  </w:pPr>
                  <w:r>
                    <w:rPr>
                      <w:rFonts w:eastAsia="宋体" w:cs="Times New Roman"/>
                      <w:b/>
                      <w:bCs/>
                      <w:sz w:val="21"/>
                      <w:szCs w:val="21"/>
                    </w:rPr>
                    <w:t>名称</w:t>
                  </w:r>
                </w:p>
              </w:tc>
              <w:tc>
                <w:tcPr>
                  <w:tcW w:w="498"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规模等级</w:t>
                  </w:r>
                </w:p>
              </w:tc>
              <w:tc>
                <w:tcPr>
                  <w:tcW w:w="470"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污染物指标</w:t>
                  </w:r>
                </w:p>
              </w:tc>
              <w:tc>
                <w:tcPr>
                  <w:tcW w:w="490"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单位</w:t>
                  </w:r>
                </w:p>
              </w:tc>
              <w:tc>
                <w:tcPr>
                  <w:tcW w:w="450"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产污</w:t>
                  </w:r>
                </w:p>
                <w:p>
                  <w:pPr>
                    <w:spacing w:line="240" w:lineRule="auto"/>
                    <w:jc w:val="center"/>
                    <w:rPr>
                      <w:rFonts w:eastAsia="宋体" w:cs="Times New Roman"/>
                      <w:b/>
                      <w:bCs/>
                      <w:sz w:val="21"/>
                      <w:szCs w:val="21"/>
                    </w:rPr>
                  </w:pPr>
                  <w:r>
                    <w:rPr>
                      <w:rFonts w:eastAsia="宋体" w:cs="Times New Roman"/>
                      <w:b/>
                      <w:bCs/>
                      <w:sz w:val="21"/>
                      <w:szCs w:val="21"/>
                    </w:rPr>
                    <w:t>系数</w:t>
                  </w:r>
                </w:p>
              </w:tc>
              <w:tc>
                <w:tcPr>
                  <w:tcW w:w="663"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末端治理技术名称</w:t>
                  </w:r>
                </w:p>
              </w:tc>
              <w:tc>
                <w:tcPr>
                  <w:tcW w:w="703"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末端治理技术效率（%）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4"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商品混凝土</w:t>
                  </w:r>
                </w:p>
              </w:tc>
              <w:tc>
                <w:tcPr>
                  <w:tcW w:w="738"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水泥、砂子、石子</w:t>
                  </w:r>
                  <w:r>
                    <w:rPr>
                      <w:rFonts w:hint="eastAsia" w:eastAsia="宋体" w:cs="Times New Roman"/>
                      <w:sz w:val="21"/>
                      <w:szCs w:val="21"/>
                    </w:rPr>
                    <w:t>等</w:t>
                  </w:r>
                </w:p>
              </w:tc>
              <w:tc>
                <w:tcPr>
                  <w:tcW w:w="493"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物料混合搅拌</w:t>
                  </w:r>
                </w:p>
              </w:tc>
              <w:tc>
                <w:tcPr>
                  <w:tcW w:w="498"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所有规模</w:t>
                  </w:r>
                </w:p>
              </w:tc>
              <w:tc>
                <w:tcPr>
                  <w:tcW w:w="470"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颗粒物</w:t>
                  </w:r>
                </w:p>
              </w:tc>
              <w:tc>
                <w:tcPr>
                  <w:tcW w:w="490"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千克/吨-产品</w:t>
                  </w:r>
                </w:p>
              </w:tc>
              <w:tc>
                <w:tcPr>
                  <w:tcW w:w="450"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0.13</w:t>
                  </w:r>
                </w:p>
              </w:tc>
              <w:tc>
                <w:tcPr>
                  <w:tcW w:w="663"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袋式除尘</w:t>
                  </w:r>
                </w:p>
              </w:tc>
              <w:tc>
                <w:tcPr>
                  <w:tcW w:w="703"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99</w:t>
                  </w:r>
                </w:p>
              </w:tc>
            </w:tr>
          </w:tbl>
          <w:p>
            <w:pPr>
              <w:ind w:firstLine="480" w:firstLineChars="200"/>
              <w:rPr>
                <w:rFonts w:eastAsia="宋体" w:cs="Times New Roman"/>
                <w:kern w:val="0"/>
                <w:lang w:bidi="ar"/>
              </w:rPr>
            </w:pPr>
            <w:r>
              <w:rPr>
                <w:rFonts w:hint="eastAsia" w:eastAsia="宋体" w:cs="Times New Roman"/>
                <w:kern w:val="0"/>
                <w:lang w:bidi="ar"/>
              </w:rPr>
              <w:t>本项目用于搅拌的物料主要包括：研磨完成后的重晶石粉（</w:t>
            </w:r>
            <w:r>
              <w:rPr>
                <w:rFonts w:eastAsia="宋体" w:cs="Times New Roman"/>
                <w:kern w:val="0"/>
                <w:lang w:bidi="ar"/>
              </w:rPr>
              <w:t>4000t</w:t>
            </w:r>
            <w:r>
              <w:rPr>
                <w:rFonts w:hint="eastAsia" w:eastAsia="宋体" w:cs="Times New Roman"/>
                <w:kern w:val="0"/>
                <w:lang w:bidi="ar"/>
              </w:rPr>
              <w:t>）及水泥（1</w:t>
            </w:r>
            <w:r>
              <w:rPr>
                <w:rFonts w:eastAsia="宋体" w:cs="Times New Roman"/>
                <w:kern w:val="0"/>
                <w:lang w:bidi="ar"/>
              </w:rPr>
              <w:t>000t</w:t>
            </w:r>
            <w:r>
              <w:rPr>
                <w:rFonts w:hint="eastAsia" w:eastAsia="宋体" w:cs="Times New Roman"/>
                <w:kern w:val="0"/>
                <w:lang w:bidi="ar"/>
              </w:rPr>
              <w:t>），共计5</w:t>
            </w:r>
            <w:r>
              <w:rPr>
                <w:rFonts w:eastAsia="宋体" w:cs="Times New Roman"/>
                <w:kern w:val="0"/>
                <w:lang w:bidi="ar"/>
              </w:rPr>
              <w:t>000t</w:t>
            </w:r>
            <w:r>
              <w:rPr>
                <w:rFonts w:hint="eastAsia" w:eastAsia="宋体" w:cs="Times New Roman"/>
                <w:kern w:val="0"/>
                <w:lang w:bidi="ar"/>
              </w:rPr>
              <w:t>，则本项目搅拌粉尘产生量为0</w:t>
            </w:r>
            <w:r>
              <w:rPr>
                <w:rFonts w:eastAsia="宋体" w:cs="Times New Roman"/>
                <w:kern w:val="0"/>
                <w:lang w:bidi="ar"/>
              </w:rPr>
              <w:t>.65t/a</w:t>
            </w:r>
            <w:r>
              <w:rPr>
                <w:rFonts w:hint="eastAsia" w:eastAsia="宋体" w:cs="Times New Roman"/>
                <w:kern w:val="0"/>
                <w:lang w:bidi="ar"/>
              </w:rPr>
              <w:t>。该部分粉尘产生量较小，在车间内无组织排放。</w:t>
            </w:r>
          </w:p>
          <w:p>
            <w:pPr>
              <w:ind w:firstLine="480" w:firstLineChars="200"/>
              <w:rPr>
                <w:rFonts w:eastAsia="宋体" w:cs="Times New Roman"/>
              </w:rPr>
            </w:pPr>
            <w:r>
              <w:rPr>
                <w:rFonts w:hint="eastAsia" w:eastAsia="宋体" w:cs="Times New Roman"/>
                <w:kern w:val="0"/>
                <w:lang w:bidi="ar"/>
              </w:rPr>
              <w:t>本项目</w:t>
            </w:r>
            <w:r>
              <w:rPr>
                <w:rFonts w:eastAsia="宋体" w:cs="Times New Roman"/>
                <w:kern w:val="0"/>
                <w:lang w:bidi="ar"/>
              </w:rPr>
              <w:t>所有生产设备均置于密闭厂房内，厂房顶部</w:t>
            </w:r>
            <w:r>
              <w:rPr>
                <w:rFonts w:eastAsia="宋体" w:cs="Times New Roman"/>
              </w:rPr>
              <w:t>配套安装洒水喷头，保证定时洒水抑尘，可有效抑制90%的粉尘产生，则该环节无组织排放的粉尘为0.065t/a</w:t>
            </w:r>
            <w:r>
              <w:rPr>
                <w:rFonts w:hint="eastAsia" w:eastAsia="宋体" w:cs="Times New Roman"/>
              </w:rPr>
              <w:t>。</w:t>
            </w:r>
          </w:p>
          <w:p>
            <w:pPr>
              <w:pStyle w:val="2"/>
              <w:ind w:firstLine="480" w:firstLineChars="200"/>
              <w:outlineLvl w:val="1"/>
              <w:rPr>
                <w:rFonts w:ascii="Times New Roman" w:hAnsi="Times New Roman" w:eastAsia="宋体" w:cs="Times New Roman"/>
                <w:b w:val="0"/>
                <w:bCs w:val="0"/>
                <w:szCs w:val="22"/>
              </w:rPr>
            </w:pPr>
            <w:r>
              <w:rPr>
                <w:rFonts w:hint="eastAsia" w:ascii="Times New Roman" w:hAnsi="Times New Roman" w:eastAsia="宋体" w:cs="Times New Roman"/>
                <w:b w:val="0"/>
                <w:bCs w:val="0"/>
                <w:szCs w:val="22"/>
              </w:rPr>
              <w:t>（8）水泥筒仓粉尘</w:t>
            </w:r>
          </w:p>
          <w:p>
            <w:pPr>
              <w:ind w:firstLine="480" w:firstLineChars="200"/>
              <w:rPr>
                <w:rFonts w:eastAsia="宋体" w:cs="Times New Roman"/>
                <w:lang w:val="zh-CN"/>
              </w:rPr>
            </w:pPr>
            <w:r>
              <w:rPr>
                <w:rFonts w:hint="eastAsia" w:eastAsia="宋体" w:cs="Times New Roman"/>
              </w:rPr>
              <w:t>本项目设置</w:t>
            </w:r>
            <w:r>
              <w:rPr>
                <w:rFonts w:eastAsia="宋体" w:cs="Times New Roman"/>
              </w:rPr>
              <w:t>1</w:t>
            </w:r>
            <w:r>
              <w:rPr>
                <w:rFonts w:hint="eastAsia" w:eastAsia="宋体" w:cs="Times New Roman"/>
              </w:rPr>
              <w:t>台筒仓，水泥</w:t>
            </w:r>
            <w:r>
              <w:rPr>
                <w:rFonts w:eastAsia="宋体" w:cs="Times New Roman"/>
                <w:szCs w:val="24"/>
                <w:lang w:val="zh-CN"/>
              </w:rPr>
              <w:t>由散装罐车运至厂区，由散装罐车自带的封闭式气动系统将粉料泵入筒仓内，</w:t>
            </w:r>
            <w:r>
              <w:rPr>
                <w:rFonts w:eastAsia="宋体" w:cs="Times New Roman"/>
                <w:szCs w:val="24"/>
              </w:rPr>
              <w:t>由于受气流冲击，会产生粉尘。排污系数参照“关于发布《排放源统计调查产排污核算方法和系数手册》的公告（公告2021年 第24号）”中“3021 水泥制品制造（含 3022 砼结构构件、3029 其他水泥类似制品制造）行业系数表——物料输送储存”。</w:t>
            </w:r>
          </w:p>
          <w:p>
            <w:pPr>
              <w:spacing w:line="240" w:lineRule="auto"/>
              <w:jc w:val="center"/>
              <w:rPr>
                <w:rFonts w:eastAsia="宋体" w:cs="Times New Roman"/>
                <w:b/>
                <w:bCs/>
                <w:sz w:val="21"/>
                <w:szCs w:val="21"/>
              </w:rPr>
            </w:pPr>
          </w:p>
          <w:p>
            <w:pPr>
              <w:spacing w:line="240" w:lineRule="auto"/>
              <w:jc w:val="center"/>
              <w:rPr>
                <w:rFonts w:eastAsia="宋体" w:cs="Times New Roman"/>
                <w:b/>
                <w:kern w:val="0"/>
                <w:sz w:val="21"/>
                <w:szCs w:val="21"/>
              </w:rPr>
            </w:pPr>
            <w:r>
              <w:rPr>
                <w:rFonts w:eastAsia="宋体" w:cs="Times New Roman"/>
                <w:b/>
                <w:bCs/>
                <w:sz w:val="21"/>
                <w:szCs w:val="21"/>
              </w:rPr>
              <w:t xml:space="preserve">表4-4 </w:t>
            </w:r>
            <w:r>
              <w:rPr>
                <w:rFonts w:eastAsia="宋体" w:cs="Times New Roman"/>
                <w:b/>
                <w:kern w:val="0"/>
                <w:sz w:val="21"/>
                <w:szCs w:val="21"/>
              </w:rPr>
              <w:t>物料输送储存产排污系数表（摘录）</w:t>
            </w:r>
          </w:p>
          <w:tbl>
            <w:tblPr>
              <w:tblStyle w:val="21"/>
              <w:tblW w:w="4997"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131"/>
              <w:gridCol w:w="749"/>
              <w:gridCol w:w="609"/>
              <w:gridCol w:w="749"/>
              <w:gridCol w:w="805"/>
              <w:gridCol w:w="584"/>
              <w:gridCol w:w="1001"/>
              <w:gridCol w:w="114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2"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产品</w:t>
                  </w:r>
                </w:p>
                <w:p>
                  <w:pPr>
                    <w:spacing w:line="240" w:lineRule="auto"/>
                    <w:jc w:val="center"/>
                    <w:rPr>
                      <w:rFonts w:eastAsia="宋体" w:cs="Times New Roman"/>
                      <w:b/>
                      <w:bCs/>
                      <w:sz w:val="21"/>
                      <w:szCs w:val="21"/>
                    </w:rPr>
                  </w:pPr>
                  <w:r>
                    <w:rPr>
                      <w:rFonts w:eastAsia="宋体" w:cs="Times New Roman"/>
                      <w:b/>
                      <w:bCs/>
                      <w:sz w:val="21"/>
                      <w:szCs w:val="21"/>
                    </w:rPr>
                    <w:t>名称</w:t>
                  </w:r>
                </w:p>
              </w:tc>
              <w:tc>
                <w:tcPr>
                  <w:tcW w:w="751"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原料名称</w:t>
                  </w:r>
                </w:p>
              </w:tc>
              <w:tc>
                <w:tcPr>
                  <w:tcW w:w="498"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工艺</w:t>
                  </w:r>
                </w:p>
                <w:p>
                  <w:pPr>
                    <w:spacing w:line="240" w:lineRule="auto"/>
                    <w:jc w:val="center"/>
                    <w:rPr>
                      <w:rFonts w:eastAsia="宋体" w:cs="Times New Roman"/>
                      <w:b/>
                      <w:bCs/>
                      <w:sz w:val="21"/>
                      <w:szCs w:val="21"/>
                    </w:rPr>
                  </w:pPr>
                  <w:r>
                    <w:rPr>
                      <w:rFonts w:eastAsia="宋体" w:cs="Times New Roman"/>
                      <w:b/>
                      <w:bCs/>
                      <w:sz w:val="21"/>
                      <w:szCs w:val="21"/>
                    </w:rPr>
                    <w:t>名称</w:t>
                  </w:r>
                </w:p>
              </w:tc>
              <w:tc>
                <w:tcPr>
                  <w:tcW w:w="405"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规模等级</w:t>
                  </w:r>
                </w:p>
              </w:tc>
              <w:tc>
                <w:tcPr>
                  <w:tcW w:w="498"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污染物指标</w:t>
                  </w:r>
                </w:p>
              </w:tc>
              <w:tc>
                <w:tcPr>
                  <w:tcW w:w="535"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单位</w:t>
                  </w:r>
                </w:p>
              </w:tc>
              <w:tc>
                <w:tcPr>
                  <w:tcW w:w="375"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产污系数</w:t>
                  </w:r>
                </w:p>
              </w:tc>
              <w:tc>
                <w:tcPr>
                  <w:tcW w:w="665"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末端治理技术名称</w:t>
                  </w:r>
                </w:p>
              </w:tc>
              <w:tc>
                <w:tcPr>
                  <w:tcW w:w="757" w:type="pct"/>
                  <w:tcBorders>
                    <w:tl2br w:val="nil"/>
                    <w:tr2bl w:val="nil"/>
                  </w:tcBorders>
                  <w:vAlign w:val="center"/>
                </w:tcPr>
                <w:p>
                  <w:pPr>
                    <w:spacing w:line="240" w:lineRule="auto"/>
                    <w:jc w:val="center"/>
                    <w:rPr>
                      <w:rFonts w:eastAsia="宋体" w:cs="Times New Roman"/>
                      <w:b/>
                      <w:bCs/>
                      <w:sz w:val="21"/>
                      <w:szCs w:val="21"/>
                    </w:rPr>
                  </w:pPr>
                  <w:r>
                    <w:rPr>
                      <w:rFonts w:eastAsia="宋体" w:cs="Times New Roman"/>
                      <w:b/>
                      <w:bCs/>
                      <w:sz w:val="21"/>
                      <w:szCs w:val="21"/>
                    </w:rPr>
                    <w:t>末端治理技术效率（%）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2"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各种水泥制品</w:t>
                  </w:r>
                </w:p>
              </w:tc>
              <w:tc>
                <w:tcPr>
                  <w:tcW w:w="751"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水泥、砂子、石子、钢筋</w:t>
                  </w:r>
                </w:p>
              </w:tc>
              <w:tc>
                <w:tcPr>
                  <w:tcW w:w="498"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物料输送储存</w:t>
                  </w:r>
                </w:p>
              </w:tc>
              <w:tc>
                <w:tcPr>
                  <w:tcW w:w="405"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所有规模</w:t>
                  </w:r>
                </w:p>
              </w:tc>
              <w:tc>
                <w:tcPr>
                  <w:tcW w:w="498"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颗粒物</w:t>
                  </w:r>
                </w:p>
              </w:tc>
              <w:tc>
                <w:tcPr>
                  <w:tcW w:w="535"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千克/吨-产品</w:t>
                  </w:r>
                </w:p>
              </w:tc>
              <w:tc>
                <w:tcPr>
                  <w:tcW w:w="375"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0.1</w:t>
                  </w:r>
                  <w:r>
                    <w:rPr>
                      <w:rFonts w:hint="eastAsia" w:eastAsia="宋体" w:cs="Times New Roman"/>
                      <w:sz w:val="21"/>
                      <w:szCs w:val="21"/>
                    </w:rPr>
                    <w:t>2</w:t>
                  </w:r>
                </w:p>
              </w:tc>
              <w:tc>
                <w:tcPr>
                  <w:tcW w:w="665"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袋式</w:t>
                  </w:r>
                </w:p>
                <w:p>
                  <w:pPr>
                    <w:spacing w:line="240" w:lineRule="auto"/>
                    <w:jc w:val="center"/>
                    <w:rPr>
                      <w:rFonts w:eastAsia="宋体" w:cs="Times New Roman"/>
                      <w:sz w:val="21"/>
                      <w:szCs w:val="21"/>
                    </w:rPr>
                  </w:pPr>
                  <w:r>
                    <w:rPr>
                      <w:rFonts w:eastAsia="宋体" w:cs="Times New Roman"/>
                      <w:sz w:val="21"/>
                      <w:szCs w:val="21"/>
                    </w:rPr>
                    <w:t>除尘</w:t>
                  </w:r>
                </w:p>
              </w:tc>
              <w:tc>
                <w:tcPr>
                  <w:tcW w:w="757" w:type="pct"/>
                  <w:tcBorders>
                    <w:tl2br w:val="nil"/>
                    <w:tr2bl w:val="nil"/>
                  </w:tcBorders>
                  <w:vAlign w:val="center"/>
                </w:tcPr>
                <w:p>
                  <w:pPr>
                    <w:spacing w:line="240" w:lineRule="auto"/>
                    <w:jc w:val="center"/>
                    <w:rPr>
                      <w:rFonts w:eastAsia="宋体" w:cs="Times New Roman"/>
                      <w:sz w:val="21"/>
                      <w:szCs w:val="21"/>
                    </w:rPr>
                  </w:pPr>
                  <w:r>
                    <w:rPr>
                      <w:rFonts w:eastAsia="宋体" w:cs="Times New Roman"/>
                      <w:sz w:val="21"/>
                      <w:szCs w:val="21"/>
                    </w:rPr>
                    <w:t>99.7</w:t>
                  </w:r>
                </w:p>
              </w:tc>
            </w:tr>
          </w:tbl>
          <w:p>
            <w:pPr>
              <w:ind w:firstLine="480" w:firstLineChars="200"/>
              <w:rPr>
                <w:rFonts w:eastAsia="宋体" w:cs="Times New Roman"/>
              </w:rPr>
            </w:pPr>
            <w:r>
              <w:rPr>
                <w:rFonts w:hint="eastAsia" w:eastAsia="宋体" w:cs="Times New Roman"/>
              </w:rPr>
              <w:t>本项目水泥年用量为1</w:t>
            </w:r>
            <w:r>
              <w:rPr>
                <w:rFonts w:eastAsia="宋体" w:cs="Times New Roman"/>
              </w:rPr>
              <w:t>000t/a</w:t>
            </w:r>
            <w:r>
              <w:rPr>
                <w:rFonts w:hint="eastAsia" w:eastAsia="宋体" w:cs="Times New Roman"/>
              </w:rPr>
              <w:t>，则粉尘产生量为0</w:t>
            </w:r>
            <w:r>
              <w:rPr>
                <w:rFonts w:eastAsia="宋体" w:cs="Times New Roman"/>
              </w:rPr>
              <w:t>.12t/a</w:t>
            </w:r>
            <w:r>
              <w:rPr>
                <w:rFonts w:hint="eastAsia" w:eastAsia="宋体" w:cs="Times New Roman"/>
              </w:rPr>
              <w:t>。</w:t>
            </w:r>
            <w:r>
              <w:rPr>
                <w:rFonts w:eastAsia="宋体" w:cs="Times New Roman"/>
                <w:szCs w:val="24"/>
              </w:rPr>
              <w:t>水泥筒仓</w:t>
            </w:r>
            <w:r>
              <w:rPr>
                <w:rFonts w:hint="eastAsia" w:eastAsia="宋体" w:cs="Times New Roman"/>
                <w:szCs w:val="24"/>
              </w:rPr>
              <w:t>属于</w:t>
            </w:r>
            <w:r>
              <w:rPr>
                <w:rFonts w:eastAsia="宋体" w:cs="Times New Roman"/>
                <w:szCs w:val="24"/>
                <w:lang w:val="zh-CN"/>
              </w:rPr>
              <w:t>封闭式结构，</w:t>
            </w:r>
            <w:r>
              <w:rPr>
                <w:rFonts w:hint="eastAsia" w:eastAsia="宋体" w:cs="Times New Roman"/>
                <w:szCs w:val="24"/>
              </w:rPr>
              <w:t>且筒仓上方配备有脉冲式布袋除尘器，</w:t>
            </w:r>
            <w:r>
              <w:rPr>
                <w:rFonts w:eastAsia="宋体" w:cs="Times New Roman"/>
                <w:szCs w:val="24"/>
                <w:lang w:val="zh-CN"/>
              </w:rPr>
              <w:t>呼吸粉尘通过</w:t>
            </w:r>
            <w:r>
              <w:rPr>
                <w:rFonts w:hint="eastAsia" w:eastAsia="宋体" w:cs="Times New Roman"/>
                <w:szCs w:val="24"/>
              </w:rPr>
              <w:t>脉冲式布袋</w:t>
            </w:r>
            <w:r>
              <w:rPr>
                <w:rFonts w:eastAsia="宋体" w:cs="Times New Roman"/>
                <w:szCs w:val="24"/>
                <w:lang w:val="zh-CN"/>
              </w:rPr>
              <w:t>除尘器（除尘效率为99.</w:t>
            </w:r>
            <w:r>
              <w:rPr>
                <w:rFonts w:eastAsia="宋体" w:cs="Times New Roman"/>
                <w:szCs w:val="24"/>
              </w:rPr>
              <w:t>7</w:t>
            </w:r>
            <w:r>
              <w:rPr>
                <w:rFonts w:eastAsia="宋体" w:cs="Times New Roman"/>
                <w:szCs w:val="24"/>
                <w:lang w:val="zh-CN"/>
              </w:rPr>
              <w:t>%）处理后</w:t>
            </w:r>
            <w:r>
              <w:rPr>
                <w:rFonts w:hint="eastAsia" w:eastAsia="宋体" w:cs="Times New Roman"/>
                <w:szCs w:val="24"/>
              </w:rPr>
              <w:t>在</w:t>
            </w:r>
            <w:r>
              <w:rPr>
                <w:rFonts w:hint="eastAsia" w:eastAsia="宋体" w:cs="Times New Roman"/>
                <w:szCs w:val="24"/>
                <w:lang w:val="zh-CN"/>
              </w:rPr>
              <w:t>厂房</w:t>
            </w:r>
            <w:r>
              <w:rPr>
                <w:rFonts w:eastAsia="宋体" w:cs="Times New Roman"/>
                <w:szCs w:val="24"/>
                <w:lang w:val="zh-CN"/>
              </w:rPr>
              <w:t>内无组织排放。</w:t>
            </w:r>
            <w:r>
              <w:rPr>
                <w:rFonts w:hint="eastAsia" w:eastAsia="宋体" w:cs="Times New Roman"/>
                <w:szCs w:val="24"/>
                <w:lang w:val="zh-CN"/>
              </w:rPr>
              <w:t>筒仓粉尘年排放量为0</w:t>
            </w:r>
            <w:r>
              <w:rPr>
                <w:rFonts w:eastAsia="宋体" w:cs="Times New Roman"/>
                <w:szCs w:val="24"/>
                <w:lang w:val="zh-CN"/>
              </w:rPr>
              <w:t>.36kg/a</w:t>
            </w:r>
            <w:r>
              <w:rPr>
                <w:rFonts w:hint="eastAsia" w:eastAsia="宋体" w:cs="Times New Roman"/>
                <w:szCs w:val="24"/>
                <w:lang w:val="zh-CN"/>
              </w:rPr>
              <w:t>，除尘器收集到的粉尘通过脉冲振打，返回筒仓内。</w:t>
            </w:r>
          </w:p>
          <w:p>
            <w:pPr>
              <w:adjustRightInd w:val="0"/>
              <w:snapToGrid w:val="0"/>
              <w:ind w:firstLine="442" w:firstLineChars="200"/>
              <w:rPr>
                <w:rFonts w:eastAsia="宋体" w:cs="Times New Roman"/>
                <w:b/>
                <w:spacing w:val="-10"/>
                <w:szCs w:val="24"/>
              </w:rPr>
            </w:pPr>
            <w:r>
              <w:rPr>
                <w:rFonts w:eastAsia="宋体" w:cs="Times New Roman"/>
                <w:b/>
                <w:spacing w:val="-10"/>
                <w:szCs w:val="24"/>
              </w:rPr>
              <w:t>2、废气排放口基本情况</w:t>
            </w:r>
          </w:p>
          <w:p>
            <w:pPr>
              <w:spacing w:line="240" w:lineRule="auto"/>
              <w:jc w:val="center"/>
              <w:rPr>
                <w:rFonts w:eastAsia="宋体" w:cs="Times New Roman"/>
                <w:b/>
                <w:bCs/>
                <w:sz w:val="21"/>
                <w:szCs w:val="21"/>
              </w:rPr>
            </w:pPr>
            <w:r>
              <w:rPr>
                <w:rFonts w:eastAsia="宋体" w:cs="Times New Roman"/>
                <w:b/>
                <w:bCs/>
                <w:sz w:val="21"/>
                <w:szCs w:val="21"/>
              </w:rPr>
              <w:t>表4-5  本项目废气排放口一览表</w:t>
            </w:r>
          </w:p>
          <w:tbl>
            <w:tblPr>
              <w:tblStyle w:val="20"/>
              <w:tblW w:w="4994"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741"/>
              <w:gridCol w:w="743"/>
              <w:gridCol w:w="850"/>
              <w:gridCol w:w="710"/>
              <w:gridCol w:w="864"/>
              <w:gridCol w:w="1424"/>
              <w:gridCol w:w="13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pct"/>
                  <w:vAlign w:val="center"/>
                </w:tcPr>
                <w:p>
                  <w:pPr>
                    <w:pStyle w:val="61"/>
                    <w:jc w:val="center"/>
                    <w:rPr>
                      <w:b/>
                      <w:bCs/>
                      <w:sz w:val="21"/>
                      <w:szCs w:val="21"/>
                    </w:rPr>
                  </w:pPr>
                  <w:r>
                    <w:rPr>
                      <w:b/>
                      <w:bCs/>
                      <w:sz w:val="21"/>
                      <w:szCs w:val="21"/>
                    </w:rPr>
                    <w:t>排放口编号</w:t>
                  </w:r>
                </w:p>
              </w:tc>
              <w:tc>
                <w:tcPr>
                  <w:tcW w:w="492" w:type="pct"/>
                  <w:vAlign w:val="center"/>
                </w:tcPr>
                <w:p>
                  <w:pPr>
                    <w:pStyle w:val="61"/>
                    <w:jc w:val="center"/>
                    <w:rPr>
                      <w:b/>
                      <w:bCs/>
                      <w:sz w:val="21"/>
                      <w:szCs w:val="21"/>
                    </w:rPr>
                  </w:pPr>
                  <w:r>
                    <w:rPr>
                      <w:b/>
                      <w:bCs/>
                      <w:sz w:val="21"/>
                      <w:szCs w:val="21"/>
                    </w:rPr>
                    <w:t>风量</w:t>
                  </w:r>
                </w:p>
              </w:tc>
              <w:tc>
                <w:tcPr>
                  <w:tcW w:w="493" w:type="pct"/>
                  <w:vAlign w:val="center"/>
                </w:tcPr>
                <w:p>
                  <w:pPr>
                    <w:pStyle w:val="61"/>
                    <w:jc w:val="center"/>
                    <w:rPr>
                      <w:b/>
                      <w:bCs/>
                      <w:sz w:val="21"/>
                      <w:szCs w:val="21"/>
                    </w:rPr>
                  </w:pPr>
                  <w:r>
                    <w:rPr>
                      <w:b/>
                      <w:bCs/>
                      <w:sz w:val="21"/>
                      <w:szCs w:val="21"/>
                    </w:rPr>
                    <w:t>排放</w:t>
                  </w:r>
                </w:p>
                <w:p>
                  <w:pPr>
                    <w:pStyle w:val="61"/>
                    <w:jc w:val="center"/>
                    <w:rPr>
                      <w:b/>
                      <w:bCs/>
                      <w:sz w:val="21"/>
                      <w:szCs w:val="21"/>
                    </w:rPr>
                  </w:pPr>
                  <w:r>
                    <w:rPr>
                      <w:b/>
                      <w:bCs/>
                      <w:sz w:val="21"/>
                      <w:szCs w:val="21"/>
                    </w:rPr>
                    <w:t>高度</w:t>
                  </w:r>
                </w:p>
              </w:tc>
              <w:tc>
                <w:tcPr>
                  <w:tcW w:w="564" w:type="pct"/>
                  <w:vAlign w:val="center"/>
                </w:tcPr>
                <w:p>
                  <w:pPr>
                    <w:pStyle w:val="61"/>
                    <w:jc w:val="center"/>
                    <w:rPr>
                      <w:b/>
                      <w:bCs/>
                      <w:sz w:val="21"/>
                      <w:szCs w:val="21"/>
                    </w:rPr>
                  </w:pPr>
                  <w:r>
                    <w:rPr>
                      <w:b/>
                      <w:bCs/>
                      <w:sz w:val="21"/>
                      <w:szCs w:val="21"/>
                    </w:rPr>
                    <w:t>排气筒内径</w:t>
                  </w:r>
                </w:p>
              </w:tc>
              <w:tc>
                <w:tcPr>
                  <w:tcW w:w="471" w:type="pct"/>
                  <w:vAlign w:val="center"/>
                </w:tcPr>
                <w:p>
                  <w:pPr>
                    <w:pStyle w:val="61"/>
                    <w:jc w:val="center"/>
                    <w:rPr>
                      <w:b/>
                      <w:bCs/>
                      <w:sz w:val="21"/>
                      <w:szCs w:val="21"/>
                    </w:rPr>
                  </w:pPr>
                  <w:r>
                    <w:rPr>
                      <w:b/>
                      <w:bCs/>
                      <w:sz w:val="21"/>
                      <w:szCs w:val="21"/>
                    </w:rPr>
                    <w:t>排放温度</w:t>
                  </w:r>
                </w:p>
              </w:tc>
              <w:tc>
                <w:tcPr>
                  <w:tcW w:w="573" w:type="pct"/>
                  <w:vAlign w:val="center"/>
                </w:tcPr>
                <w:p>
                  <w:pPr>
                    <w:pStyle w:val="61"/>
                    <w:jc w:val="center"/>
                    <w:rPr>
                      <w:b/>
                      <w:bCs/>
                      <w:sz w:val="21"/>
                      <w:szCs w:val="21"/>
                    </w:rPr>
                  </w:pPr>
                  <w:r>
                    <w:rPr>
                      <w:b/>
                      <w:bCs/>
                      <w:sz w:val="21"/>
                      <w:szCs w:val="21"/>
                    </w:rPr>
                    <w:t>排放口类型</w:t>
                  </w:r>
                </w:p>
              </w:tc>
              <w:tc>
                <w:tcPr>
                  <w:tcW w:w="1827" w:type="pct"/>
                  <w:gridSpan w:val="2"/>
                  <w:vAlign w:val="center"/>
                </w:tcPr>
                <w:p>
                  <w:pPr>
                    <w:pStyle w:val="61"/>
                    <w:jc w:val="center"/>
                    <w:rPr>
                      <w:b/>
                      <w:bCs/>
                      <w:sz w:val="21"/>
                      <w:szCs w:val="21"/>
                    </w:rPr>
                  </w:pPr>
                  <w:r>
                    <w:rPr>
                      <w:b/>
                      <w:bCs/>
                      <w:sz w:val="21"/>
                      <w:szCs w:val="21"/>
                    </w:rPr>
                    <w:t>地理坐标（°）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DA00</w:t>
                  </w:r>
                  <w:r>
                    <w:rPr>
                      <w:rFonts w:hint="eastAsia" w:ascii="Times New Roman" w:hAnsi="Times New Roman" w:cs="Times New Roman"/>
                      <w:sz w:val="21"/>
                      <w:szCs w:val="21"/>
                    </w:rPr>
                    <w:t>1</w:t>
                  </w:r>
                </w:p>
              </w:tc>
              <w:tc>
                <w:tcPr>
                  <w:tcW w:w="492"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15000</w:t>
                  </w:r>
                </w:p>
                <w:p>
                  <w:pPr>
                    <w:pStyle w:val="10"/>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/h</w:t>
                  </w:r>
                </w:p>
              </w:tc>
              <w:tc>
                <w:tcPr>
                  <w:tcW w:w="493"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15m</w:t>
                  </w:r>
                </w:p>
              </w:tc>
              <w:tc>
                <w:tcPr>
                  <w:tcW w:w="564"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0.6m</w:t>
                  </w:r>
                </w:p>
              </w:tc>
              <w:tc>
                <w:tcPr>
                  <w:tcW w:w="471"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常温</w:t>
                  </w:r>
                </w:p>
              </w:tc>
              <w:tc>
                <w:tcPr>
                  <w:tcW w:w="573"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一般</w:t>
                  </w:r>
                </w:p>
                <w:p>
                  <w:pPr>
                    <w:pStyle w:val="10"/>
                    <w:jc w:val="center"/>
                    <w:rPr>
                      <w:rFonts w:ascii="Times New Roman" w:hAnsi="Times New Roman" w:cs="Times New Roman"/>
                      <w:sz w:val="21"/>
                      <w:szCs w:val="21"/>
                    </w:rPr>
                  </w:pPr>
                  <w:r>
                    <w:rPr>
                      <w:rFonts w:ascii="Times New Roman" w:hAnsi="Times New Roman" w:cs="Times New Roman"/>
                      <w:sz w:val="21"/>
                      <w:szCs w:val="21"/>
                    </w:rPr>
                    <w:t>排放口</w:t>
                  </w:r>
                </w:p>
              </w:tc>
              <w:tc>
                <w:tcPr>
                  <w:tcW w:w="945"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109.15612221</w:t>
                  </w:r>
                </w:p>
              </w:tc>
              <w:tc>
                <w:tcPr>
                  <w:tcW w:w="882"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32.35034183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pct"/>
                  <w:vAlign w:val="center"/>
                </w:tcPr>
                <w:p>
                  <w:pPr>
                    <w:pStyle w:val="10"/>
                    <w:jc w:val="center"/>
                    <w:rPr>
                      <w:rFonts w:ascii="Times New Roman" w:hAnsi="Times New Roman" w:cs="Times New Roman"/>
                      <w:sz w:val="21"/>
                      <w:szCs w:val="21"/>
                    </w:rPr>
                  </w:pPr>
                  <w:r>
                    <w:rPr>
                      <w:rFonts w:hint="eastAsia" w:ascii="Times New Roman" w:hAnsi="Times New Roman" w:cs="Times New Roman"/>
                      <w:sz w:val="21"/>
                      <w:szCs w:val="21"/>
                    </w:rPr>
                    <w:t>DA</w:t>
                  </w:r>
                  <w:r>
                    <w:rPr>
                      <w:rFonts w:ascii="Times New Roman" w:hAnsi="Times New Roman" w:cs="Times New Roman"/>
                      <w:sz w:val="21"/>
                      <w:szCs w:val="21"/>
                    </w:rPr>
                    <w:t>002</w:t>
                  </w:r>
                </w:p>
              </w:tc>
              <w:tc>
                <w:tcPr>
                  <w:tcW w:w="492"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32000</w:t>
                  </w:r>
                </w:p>
                <w:p>
                  <w:pPr>
                    <w:pStyle w:val="10"/>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/h</w:t>
                  </w:r>
                </w:p>
              </w:tc>
              <w:tc>
                <w:tcPr>
                  <w:tcW w:w="493"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15m</w:t>
                  </w:r>
                </w:p>
              </w:tc>
              <w:tc>
                <w:tcPr>
                  <w:tcW w:w="564"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0.75m</w:t>
                  </w:r>
                </w:p>
              </w:tc>
              <w:tc>
                <w:tcPr>
                  <w:tcW w:w="471"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常温</w:t>
                  </w:r>
                </w:p>
              </w:tc>
              <w:tc>
                <w:tcPr>
                  <w:tcW w:w="573"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一般</w:t>
                  </w:r>
                </w:p>
                <w:p>
                  <w:pPr>
                    <w:pStyle w:val="10"/>
                    <w:jc w:val="center"/>
                    <w:rPr>
                      <w:rFonts w:ascii="Times New Roman" w:hAnsi="Times New Roman" w:cs="Times New Roman"/>
                      <w:sz w:val="21"/>
                      <w:szCs w:val="21"/>
                    </w:rPr>
                  </w:pPr>
                  <w:r>
                    <w:rPr>
                      <w:rFonts w:ascii="Times New Roman" w:hAnsi="Times New Roman" w:cs="Times New Roman"/>
                      <w:sz w:val="21"/>
                      <w:szCs w:val="21"/>
                    </w:rPr>
                    <w:t>排放口</w:t>
                  </w:r>
                </w:p>
              </w:tc>
              <w:tc>
                <w:tcPr>
                  <w:tcW w:w="945"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109.15589690</w:t>
                  </w:r>
                </w:p>
              </w:tc>
              <w:tc>
                <w:tcPr>
                  <w:tcW w:w="882" w:type="pct"/>
                  <w:vAlign w:val="center"/>
                </w:tcPr>
                <w:p>
                  <w:pPr>
                    <w:pStyle w:val="10"/>
                    <w:jc w:val="center"/>
                    <w:rPr>
                      <w:rFonts w:ascii="Times New Roman" w:hAnsi="Times New Roman" w:cs="Times New Roman"/>
                      <w:sz w:val="21"/>
                      <w:szCs w:val="21"/>
                    </w:rPr>
                  </w:pPr>
                  <w:r>
                    <w:rPr>
                      <w:rFonts w:ascii="Times New Roman" w:hAnsi="Times New Roman" w:cs="Times New Roman"/>
                      <w:sz w:val="21"/>
                      <w:szCs w:val="21"/>
                    </w:rPr>
                    <w:t>32.35018548</w:t>
                  </w:r>
                </w:p>
              </w:tc>
            </w:tr>
          </w:tbl>
          <w:p>
            <w:pPr>
              <w:ind w:firstLine="482" w:firstLineChars="200"/>
              <w:rPr>
                <w:rFonts w:eastAsia="宋体" w:cs="Times New Roman"/>
                <w:b/>
                <w:bCs/>
                <w:kern w:val="0"/>
                <w:lang w:bidi="ar"/>
              </w:rPr>
            </w:pPr>
            <w:r>
              <w:rPr>
                <w:rFonts w:hint="eastAsia" w:eastAsia="宋体" w:cs="Times New Roman"/>
                <w:b/>
                <w:bCs/>
                <w:kern w:val="0"/>
                <w:lang w:bidi="ar"/>
              </w:rPr>
              <w:t>3、废气治理措施可行性分析</w:t>
            </w:r>
          </w:p>
          <w:p>
            <w:pPr>
              <w:pStyle w:val="2"/>
              <w:ind w:firstLine="480" w:firstLineChars="200"/>
              <w:outlineLvl w:val="1"/>
              <w:rPr>
                <w:rFonts w:ascii="Times New Roman" w:hAnsi="Times New Roman" w:eastAsia="宋体" w:cs="Times New Roman"/>
                <w:b w:val="0"/>
                <w:bCs w:val="0"/>
                <w:kern w:val="0"/>
                <w:szCs w:val="22"/>
                <w:lang w:bidi="ar"/>
              </w:rPr>
            </w:pPr>
            <w:r>
              <w:rPr>
                <w:rFonts w:hint="eastAsia" w:ascii="Times New Roman" w:hAnsi="Times New Roman" w:eastAsia="宋体" w:cs="Times New Roman"/>
                <w:b w:val="0"/>
                <w:bCs w:val="0"/>
                <w:kern w:val="0"/>
                <w:szCs w:val="22"/>
                <w:lang w:bidi="ar"/>
              </w:rPr>
              <w:t>本项目针对颗粒物的处理工艺采用袋式除尘，属于《排污许可证申请与核发技术规范 石墨及其他非金属矿物制品制造》（</w:t>
            </w:r>
            <w:r>
              <w:rPr>
                <w:rFonts w:ascii="Times New Roman" w:hAnsi="Times New Roman" w:eastAsia="宋体" w:cs="Times New Roman"/>
                <w:b w:val="0"/>
                <w:bCs w:val="0"/>
                <w:kern w:val="0"/>
                <w:szCs w:val="22"/>
                <w:lang w:bidi="ar"/>
              </w:rPr>
              <w:t>HJ1119—2020</w:t>
            </w:r>
            <w:r>
              <w:rPr>
                <w:rFonts w:hint="eastAsia" w:ascii="Times New Roman" w:hAnsi="Times New Roman" w:eastAsia="宋体" w:cs="Times New Roman"/>
                <w:b w:val="0"/>
                <w:bCs w:val="0"/>
                <w:kern w:val="0"/>
                <w:szCs w:val="22"/>
                <w:lang w:bidi="ar"/>
              </w:rPr>
              <w:t>），中的可行技术。</w:t>
            </w:r>
          </w:p>
          <w:p>
            <w:pPr>
              <w:ind w:firstLine="480" w:firstLineChars="200"/>
              <w:rPr>
                <w:rFonts w:eastAsia="宋体" w:cs="Times New Roman"/>
                <w:lang w:bidi="ar"/>
              </w:rPr>
            </w:pPr>
            <w:r>
              <w:rPr>
                <w:rFonts w:hint="eastAsia" w:eastAsia="宋体" w:cs="Times New Roman"/>
                <w:lang w:bidi="ar"/>
              </w:rPr>
              <w:t>本项目位于</w:t>
            </w:r>
            <w:r>
              <w:rPr>
                <w:rFonts w:hint="eastAsia" w:eastAsia="宋体" w:cs="Times New Roman"/>
                <w:kern w:val="0"/>
                <w:szCs w:val="20"/>
              </w:rPr>
              <w:t>安康市，不在大气重点控制区内，且周边5</w:t>
            </w:r>
            <w:r>
              <w:rPr>
                <w:rFonts w:eastAsia="宋体" w:cs="Times New Roman"/>
                <w:kern w:val="0"/>
                <w:szCs w:val="20"/>
              </w:rPr>
              <w:t>00m</w:t>
            </w:r>
            <w:r>
              <w:rPr>
                <w:rFonts w:hint="eastAsia" w:eastAsia="宋体" w:cs="Times New Roman"/>
                <w:kern w:val="0"/>
                <w:szCs w:val="20"/>
              </w:rPr>
              <w:t>范围内大气保护目标较少，物料堆放扬尘采用防尘网遮盖并设置围挡，物料装卸料时采用喷雾降尘装置，车间内无组织排放的粉尘采用密闭厂房+顶部喷淋措施以抑制扬尘，有组织粉尘采用袋式除尘器处理后排放。经过计算，在采取以上措施后，本项目废气的排放量较小，对周边环境影响较小。</w:t>
            </w:r>
          </w:p>
          <w:p>
            <w:pPr>
              <w:ind w:firstLine="482" w:firstLineChars="200"/>
              <w:rPr>
                <w:rFonts w:eastAsia="宋体" w:cs="Times New Roman"/>
                <w:b/>
                <w:bCs/>
                <w:kern w:val="0"/>
                <w:szCs w:val="20"/>
              </w:rPr>
            </w:pPr>
            <w:r>
              <w:rPr>
                <w:rFonts w:eastAsia="宋体" w:cs="Times New Roman"/>
                <w:b/>
                <w:bCs/>
                <w:kern w:val="0"/>
                <w:szCs w:val="20"/>
              </w:rPr>
              <w:t>4</w:t>
            </w:r>
            <w:r>
              <w:rPr>
                <w:rFonts w:hint="eastAsia" w:eastAsia="宋体" w:cs="Times New Roman"/>
                <w:b/>
                <w:bCs/>
                <w:kern w:val="0"/>
                <w:szCs w:val="20"/>
              </w:rPr>
              <w:t>、环境监测与管理</w:t>
            </w:r>
          </w:p>
          <w:p>
            <w:pPr>
              <w:ind w:firstLine="480" w:firstLineChars="200"/>
              <w:rPr>
                <w:rFonts w:eastAsia="宋体" w:cs="Times New Roman"/>
                <w:kern w:val="0"/>
                <w:szCs w:val="20"/>
              </w:rPr>
            </w:pPr>
            <w:r>
              <w:rPr>
                <w:rFonts w:hint="eastAsia" w:eastAsia="宋体" w:cs="Times New Roman"/>
                <w:kern w:val="0"/>
                <w:szCs w:val="20"/>
              </w:rPr>
              <w:t xml:space="preserve">本项目位于安康市，不在大气重点控制区内，参照《排污单位自行监测技术指南 总则》（HJ819-2017）、《排污单位自行监测技术指南 </w:t>
            </w:r>
            <w:r>
              <w:rPr>
                <w:rFonts w:eastAsia="宋体" w:cs="Times New Roman"/>
                <w:kern w:val="0"/>
                <w:szCs w:val="20"/>
              </w:rPr>
              <w:t xml:space="preserve"> </w:t>
            </w:r>
            <w:r>
              <w:rPr>
                <w:rFonts w:hint="eastAsia" w:eastAsia="宋体" w:cs="Times New Roman"/>
                <w:kern w:val="0"/>
                <w:szCs w:val="20"/>
              </w:rPr>
              <w:t>水泥工业》（</w:t>
            </w:r>
            <w:r>
              <w:rPr>
                <w:rFonts w:eastAsia="宋体" w:cs="Times New Roman"/>
                <w:kern w:val="0"/>
                <w:szCs w:val="20"/>
              </w:rPr>
              <w:t>HJ848-2017</w:t>
            </w:r>
            <w:r>
              <w:rPr>
                <w:rFonts w:hint="eastAsia" w:eastAsia="宋体" w:cs="Times New Roman"/>
                <w:kern w:val="0"/>
                <w:szCs w:val="20"/>
              </w:rPr>
              <w:t>），制定本项目运营期废气污染物排放自行监测要求见表4</w:t>
            </w:r>
            <w:r>
              <w:rPr>
                <w:rFonts w:eastAsia="宋体" w:cs="Times New Roman"/>
                <w:kern w:val="0"/>
                <w:szCs w:val="20"/>
              </w:rPr>
              <w:t>-</w:t>
            </w:r>
            <w:r>
              <w:rPr>
                <w:rFonts w:hint="eastAsia" w:eastAsia="宋体" w:cs="Times New Roman"/>
                <w:kern w:val="0"/>
                <w:szCs w:val="20"/>
              </w:rPr>
              <w:t>6。</w:t>
            </w:r>
          </w:p>
          <w:p>
            <w:pPr>
              <w:pStyle w:val="28"/>
              <w:rPr>
                <w:sz w:val="20"/>
                <w:szCs w:val="20"/>
              </w:rPr>
            </w:pPr>
            <w:r>
              <w:rPr>
                <w:rFonts w:hint="eastAsia"/>
                <w:sz w:val="20"/>
                <w:szCs w:val="20"/>
              </w:rPr>
              <w:t>表4-</w:t>
            </w:r>
            <w:r>
              <w:rPr>
                <w:rFonts w:hint="eastAsia"/>
                <w:sz w:val="20"/>
                <w:szCs w:val="20"/>
                <w:lang w:val="en-US"/>
              </w:rPr>
              <w:t xml:space="preserve">6 </w:t>
            </w:r>
            <w:r>
              <w:rPr>
                <w:rFonts w:hint="eastAsia"/>
                <w:sz w:val="20"/>
                <w:szCs w:val="20"/>
              </w:rPr>
              <w:t xml:space="preserve"> 本项目废气自行监测一览表</w:t>
            </w:r>
          </w:p>
          <w:tbl>
            <w:tblPr>
              <w:tblStyle w:val="21"/>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276"/>
              <w:gridCol w:w="1135"/>
              <w:gridCol w:w="2729"/>
              <w:gridCol w:w="11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1" w:type="pct"/>
                  <w:vAlign w:val="center"/>
                </w:tcPr>
                <w:p>
                  <w:pPr>
                    <w:pStyle w:val="27"/>
                    <w:jc w:val="center"/>
                    <w:rPr>
                      <w:rFonts w:eastAsia="宋体" w:cs="Times New Roman"/>
                      <w:kern w:val="0"/>
                      <w:szCs w:val="21"/>
                    </w:rPr>
                  </w:pPr>
                  <w:r>
                    <w:rPr>
                      <w:rFonts w:hint="eastAsia" w:eastAsia="宋体" w:cs="Times New Roman"/>
                      <w:kern w:val="0"/>
                      <w:szCs w:val="21"/>
                    </w:rPr>
                    <w:t>监测点位</w:t>
                  </w:r>
                </w:p>
              </w:tc>
              <w:tc>
                <w:tcPr>
                  <w:tcW w:w="846" w:type="pct"/>
                  <w:vAlign w:val="center"/>
                </w:tcPr>
                <w:p>
                  <w:pPr>
                    <w:pStyle w:val="27"/>
                    <w:jc w:val="center"/>
                    <w:rPr>
                      <w:rFonts w:eastAsia="宋体" w:cs="Times New Roman"/>
                      <w:kern w:val="0"/>
                      <w:szCs w:val="21"/>
                    </w:rPr>
                  </w:pPr>
                  <w:r>
                    <w:rPr>
                      <w:rFonts w:hint="eastAsia" w:eastAsia="宋体" w:cs="Times New Roman"/>
                      <w:kern w:val="0"/>
                      <w:szCs w:val="21"/>
                    </w:rPr>
                    <w:t>监测因子</w:t>
                  </w:r>
                </w:p>
              </w:tc>
              <w:tc>
                <w:tcPr>
                  <w:tcW w:w="752" w:type="pct"/>
                  <w:vAlign w:val="center"/>
                </w:tcPr>
                <w:p>
                  <w:pPr>
                    <w:pStyle w:val="27"/>
                    <w:jc w:val="center"/>
                    <w:rPr>
                      <w:rFonts w:eastAsia="宋体" w:cs="Times New Roman"/>
                      <w:kern w:val="0"/>
                      <w:szCs w:val="21"/>
                    </w:rPr>
                  </w:pPr>
                  <w:r>
                    <w:rPr>
                      <w:rFonts w:hint="eastAsia" w:eastAsia="宋体" w:cs="Times New Roman"/>
                      <w:kern w:val="0"/>
                      <w:szCs w:val="21"/>
                    </w:rPr>
                    <w:t>监测频次</w:t>
                  </w:r>
                </w:p>
              </w:tc>
              <w:tc>
                <w:tcPr>
                  <w:tcW w:w="1809" w:type="pct"/>
                  <w:vAlign w:val="center"/>
                </w:tcPr>
                <w:p>
                  <w:pPr>
                    <w:pStyle w:val="27"/>
                    <w:jc w:val="center"/>
                    <w:rPr>
                      <w:rFonts w:eastAsia="宋体" w:cs="Times New Roman"/>
                      <w:kern w:val="0"/>
                      <w:szCs w:val="21"/>
                    </w:rPr>
                  </w:pPr>
                  <w:r>
                    <w:rPr>
                      <w:rFonts w:hint="eastAsia" w:eastAsia="宋体" w:cs="Times New Roman"/>
                      <w:kern w:val="0"/>
                      <w:szCs w:val="21"/>
                    </w:rPr>
                    <w:t>执行标准</w:t>
                  </w:r>
                </w:p>
              </w:tc>
              <w:tc>
                <w:tcPr>
                  <w:tcW w:w="782" w:type="pct"/>
                  <w:vAlign w:val="center"/>
                </w:tcPr>
                <w:p>
                  <w:pPr>
                    <w:pStyle w:val="27"/>
                    <w:jc w:val="center"/>
                    <w:rPr>
                      <w:rFonts w:eastAsia="宋体" w:cs="Times New Roman"/>
                      <w:kern w:val="0"/>
                      <w:szCs w:val="21"/>
                    </w:rPr>
                  </w:pPr>
                  <w:r>
                    <w:rPr>
                      <w:rFonts w:hint="eastAsia" w:eastAsia="宋体" w:cs="Times New Roman"/>
                      <w:kern w:val="0"/>
                      <w:szCs w:val="21"/>
                    </w:rPr>
                    <w:t>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1" w:type="pct"/>
                  <w:vAlign w:val="center"/>
                </w:tcPr>
                <w:p>
                  <w:pPr>
                    <w:pStyle w:val="27"/>
                    <w:jc w:val="center"/>
                    <w:rPr>
                      <w:rFonts w:eastAsia="宋体" w:cs="Times New Roman"/>
                      <w:kern w:val="0"/>
                      <w:szCs w:val="21"/>
                    </w:rPr>
                  </w:pPr>
                  <w:r>
                    <w:rPr>
                      <w:rFonts w:hint="eastAsia" w:eastAsia="宋体" w:cs="Times New Roman"/>
                      <w:kern w:val="0"/>
                      <w:szCs w:val="21"/>
                    </w:rPr>
                    <w:t>DA001</w:t>
                  </w:r>
                </w:p>
              </w:tc>
              <w:tc>
                <w:tcPr>
                  <w:tcW w:w="846" w:type="pct"/>
                  <w:vAlign w:val="center"/>
                </w:tcPr>
                <w:p>
                  <w:pPr>
                    <w:pStyle w:val="27"/>
                    <w:jc w:val="center"/>
                    <w:rPr>
                      <w:rFonts w:eastAsia="宋体" w:cs="Times New Roman"/>
                      <w:kern w:val="0"/>
                      <w:szCs w:val="21"/>
                    </w:rPr>
                  </w:pPr>
                  <w:r>
                    <w:rPr>
                      <w:rFonts w:hint="eastAsia" w:eastAsia="宋体" w:cs="Times New Roman"/>
                      <w:kern w:val="0"/>
                      <w:szCs w:val="21"/>
                    </w:rPr>
                    <w:t>颗粒物</w:t>
                  </w:r>
                </w:p>
              </w:tc>
              <w:tc>
                <w:tcPr>
                  <w:tcW w:w="752" w:type="pct"/>
                  <w:vAlign w:val="center"/>
                </w:tcPr>
                <w:p>
                  <w:pPr>
                    <w:pStyle w:val="27"/>
                    <w:jc w:val="center"/>
                    <w:rPr>
                      <w:rFonts w:eastAsia="宋体" w:cs="Times New Roman"/>
                      <w:kern w:val="0"/>
                      <w:szCs w:val="21"/>
                    </w:rPr>
                  </w:pPr>
                  <w:r>
                    <w:rPr>
                      <w:rFonts w:hint="eastAsia" w:eastAsia="宋体" w:cs="Times New Roman"/>
                      <w:kern w:val="0"/>
                      <w:szCs w:val="21"/>
                    </w:rPr>
                    <w:t>1次/年</w:t>
                  </w:r>
                </w:p>
              </w:tc>
              <w:tc>
                <w:tcPr>
                  <w:tcW w:w="1809" w:type="pct"/>
                  <w:vMerge w:val="restart"/>
                  <w:vAlign w:val="center"/>
                </w:tcPr>
                <w:p>
                  <w:pPr>
                    <w:pStyle w:val="27"/>
                    <w:jc w:val="center"/>
                    <w:rPr>
                      <w:rFonts w:eastAsia="宋体" w:cs="Times New Roman"/>
                      <w:kern w:val="0"/>
                      <w:szCs w:val="21"/>
                    </w:rPr>
                  </w:pPr>
                  <w:r>
                    <w:rPr>
                      <w:rFonts w:hint="eastAsia" w:eastAsia="宋体" w:cs="Times New Roman"/>
                      <w:kern w:val="0"/>
                      <w:szCs w:val="21"/>
                    </w:rPr>
                    <w:t>《大气污染物综合排放标准》（GB</w:t>
                  </w:r>
                  <w:r>
                    <w:rPr>
                      <w:rFonts w:eastAsia="宋体" w:cs="Times New Roman"/>
                      <w:kern w:val="0"/>
                      <w:szCs w:val="21"/>
                    </w:rPr>
                    <w:t>16297-1996</w:t>
                  </w:r>
                  <w:r>
                    <w:rPr>
                      <w:rFonts w:hint="eastAsia" w:eastAsia="宋体" w:cs="Times New Roman"/>
                      <w:kern w:val="0"/>
                      <w:szCs w:val="21"/>
                    </w:rPr>
                    <w:t>）表</w:t>
                  </w:r>
                  <w:r>
                    <w:rPr>
                      <w:rFonts w:eastAsia="宋体" w:cs="Times New Roman"/>
                      <w:kern w:val="0"/>
                      <w:szCs w:val="21"/>
                    </w:rPr>
                    <w:t>2</w:t>
                  </w:r>
                  <w:r>
                    <w:rPr>
                      <w:rFonts w:hint="eastAsia" w:eastAsia="宋体" w:cs="Times New Roman"/>
                      <w:kern w:val="0"/>
                      <w:szCs w:val="21"/>
                    </w:rPr>
                    <w:t>中标准要求。</w:t>
                  </w:r>
                </w:p>
              </w:tc>
              <w:tc>
                <w:tcPr>
                  <w:tcW w:w="782" w:type="pct"/>
                  <w:vAlign w:val="center"/>
                </w:tcPr>
                <w:p>
                  <w:pPr>
                    <w:pStyle w:val="27"/>
                    <w:jc w:val="center"/>
                    <w:rPr>
                      <w:rFonts w:eastAsia="宋体" w:cs="Times New Roman"/>
                      <w:kern w:val="0"/>
                      <w:szCs w:val="21"/>
                    </w:rPr>
                  </w:pPr>
                  <w:r>
                    <w:rPr>
                      <w:rFonts w:hint="eastAsia" w:eastAsia="宋体" w:cs="Times New Roman"/>
                      <w:kern w:val="0"/>
                      <w:szCs w:val="21"/>
                    </w:rPr>
                    <w:t>120</w:t>
                  </w:r>
                  <w:r>
                    <w:rPr>
                      <w:rFonts w:eastAsia="宋体" w:cs="Times New Roman"/>
                      <w:kern w:val="0"/>
                      <w:szCs w:val="21"/>
                    </w:rPr>
                    <w:t>mg/m</w:t>
                  </w:r>
                  <w:r>
                    <w:rPr>
                      <w:rFonts w:eastAsia="宋体" w:cs="Times New Roman"/>
                      <w:kern w:val="0"/>
                      <w:szCs w:val="21"/>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1" w:type="pct"/>
                  <w:vAlign w:val="center"/>
                </w:tcPr>
                <w:p>
                  <w:pPr>
                    <w:pStyle w:val="27"/>
                    <w:jc w:val="center"/>
                    <w:rPr>
                      <w:rFonts w:eastAsia="宋体" w:cs="Times New Roman"/>
                      <w:kern w:val="0"/>
                      <w:szCs w:val="21"/>
                    </w:rPr>
                  </w:pPr>
                  <w:r>
                    <w:rPr>
                      <w:rFonts w:hint="eastAsia" w:eastAsia="宋体" w:cs="Times New Roman"/>
                      <w:kern w:val="0"/>
                      <w:szCs w:val="21"/>
                    </w:rPr>
                    <w:t>DA00</w:t>
                  </w:r>
                  <w:r>
                    <w:rPr>
                      <w:rFonts w:eastAsia="宋体" w:cs="Times New Roman"/>
                      <w:kern w:val="0"/>
                      <w:szCs w:val="21"/>
                    </w:rPr>
                    <w:t>2</w:t>
                  </w:r>
                </w:p>
              </w:tc>
              <w:tc>
                <w:tcPr>
                  <w:tcW w:w="846" w:type="pct"/>
                  <w:vAlign w:val="center"/>
                </w:tcPr>
                <w:p>
                  <w:pPr>
                    <w:pStyle w:val="27"/>
                    <w:jc w:val="center"/>
                    <w:rPr>
                      <w:rFonts w:eastAsia="宋体" w:cs="Times New Roman"/>
                      <w:kern w:val="0"/>
                      <w:szCs w:val="21"/>
                    </w:rPr>
                  </w:pPr>
                  <w:r>
                    <w:rPr>
                      <w:rFonts w:hint="eastAsia" w:eastAsia="宋体" w:cs="Times New Roman"/>
                      <w:kern w:val="0"/>
                      <w:szCs w:val="21"/>
                    </w:rPr>
                    <w:t>颗粒物</w:t>
                  </w:r>
                </w:p>
              </w:tc>
              <w:tc>
                <w:tcPr>
                  <w:tcW w:w="752" w:type="pct"/>
                  <w:vAlign w:val="center"/>
                </w:tcPr>
                <w:p>
                  <w:pPr>
                    <w:pStyle w:val="27"/>
                    <w:jc w:val="center"/>
                    <w:rPr>
                      <w:rFonts w:eastAsia="宋体" w:cs="Times New Roman"/>
                      <w:kern w:val="0"/>
                      <w:szCs w:val="21"/>
                    </w:rPr>
                  </w:pPr>
                  <w:r>
                    <w:rPr>
                      <w:rFonts w:hint="eastAsia" w:eastAsia="宋体" w:cs="Times New Roman"/>
                      <w:kern w:val="0"/>
                      <w:szCs w:val="21"/>
                    </w:rPr>
                    <w:t>1次/年</w:t>
                  </w:r>
                </w:p>
              </w:tc>
              <w:tc>
                <w:tcPr>
                  <w:tcW w:w="1809" w:type="pct"/>
                  <w:vMerge w:val="continue"/>
                  <w:vAlign w:val="center"/>
                </w:tcPr>
                <w:p>
                  <w:pPr>
                    <w:pStyle w:val="27"/>
                    <w:jc w:val="center"/>
                    <w:rPr>
                      <w:rFonts w:eastAsia="宋体" w:cs="Times New Roman"/>
                      <w:kern w:val="0"/>
                      <w:szCs w:val="21"/>
                    </w:rPr>
                  </w:pPr>
                </w:p>
              </w:tc>
              <w:tc>
                <w:tcPr>
                  <w:tcW w:w="782" w:type="pct"/>
                  <w:vAlign w:val="center"/>
                </w:tcPr>
                <w:p>
                  <w:pPr>
                    <w:pStyle w:val="27"/>
                    <w:jc w:val="center"/>
                    <w:rPr>
                      <w:rFonts w:eastAsia="宋体" w:cs="Times New Roman"/>
                      <w:kern w:val="0"/>
                      <w:szCs w:val="21"/>
                    </w:rPr>
                  </w:pPr>
                  <w:r>
                    <w:rPr>
                      <w:rFonts w:hint="eastAsia" w:eastAsia="宋体" w:cs="Times New Roman"/>
                      <w:kern w:val="0"/>
                      <w:szCs w:val="21"/>
                    </w:rPr>
                    <w:t>120</w:t>
                  </w:r>
                  <w:r>
                    <w:rPr>
                      <w:rFonts w:eastAsia="宋体" w:cs="Times New Roman"/>
                      <w:kern w:val="0"/>
                      <w:szCs w:val="21"/>
                    </w:rPr>
                    <w:t>mg/m</w:t>
                  </w:r>
                  <w:r>
                    <w:rPr>
                      <w:rFonts w:eastAsia="宋体" w:cs="Times New Roman"/>
                      <w:kern w:val="0"/>
                      <w:szCs w:val="21"/>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11" w:type="pct"/>
                  <w:vAlign w:val="center"/>
                </w:tcPr>
                <w:p>
                  <w:pPr>
                    <w:pStyle w:val="27"/>
                    <w:jc w:val="center"/>
                    <w:rPr>
                      <w:rFonts w:eastAsia="宋体" w:cs="Times New Roman"/>
                      <w:kern w:val="0"/>
                      <w:szCs w:val="21"/>
                    </w:rPr>
                  </w:pPr>
                  <w:r>
                    <w:rPr>
                      <w:rFonts w:hint="eastAsia" w:eastAsia="宋体" w:cs="Times New Roman"/>
                      <w:kern w:val="0"/>
                      <w:szCs w:val="21"/>
                    </w:rPr>
                    <w:t>厂界</w:t>
                  </w:r>
                </w:p>
              </w:tc>
              <w:tc>
                <w:tcPr>
                  <w:tcW w:w="846" w:type="pct"/>
                  <w:vAlign w:val="center"/>
                </w:tcPr>
                <w:p>
                  <w:pPr>
                    <w:pStyle w:val="27"/>
                    <w:jc w:val="center"/>
                    <w:rPr>
                      <w:rFonts w:eastAsia="宋体" w:cs="Times New Roman"/>
                      <w:kern w:val="0"/>
                      <w:szCs w:val="21"/>
                    </w:rPr>
                  </w:pPr>
                  <w:r>
                    <w:rPr>
                      <w:rFonts w:hint="eastAsia" w:eastAsia="宋体" w:cs="Times New Roman"/>
                      <w:kern w:val="0"/>
                      <w:szCs w:val="21"/>
                    </w:rPr>
                    <w:t>颗粒物</w:t>
                  </w:r>
                </w:p>
              </w:tc>
              <w:tc>
                <w:tcPr>
                  <w:tcW w:w="752" w:type="pct"/>
                  <w:vAlign w:val="center"/>
                </w:tcPr>
                <w:p>
                  <w:pPr>
                    <w:pStyle w:val="27"/>
                    <w:jc w:val="center"/>
                    <w:rPr>
                      <w:rFonts w:eastAsia="宋体" w:cs="Times New Roman"/>
                      <w:kern w:val="0"/>
                      <w:szCs w:val="21"/>
                    </w:rPr>
                  </w:pPr>
                  <w:r>
                    <w:rPr>
                      <w:rFonts w:hint="eastAsia" w:eastAsia="宋体" w:cs="Times New Roman"/>
                      <w:kern w:val="0"/>
                      <w:szCs w:val="21"/>
                    </w:rPr>
                    <w:t>1次/年</w:t>
                  </w:r>
                </w:p>
              </w:tc>
              <w:tc>
                <w:tcPr>
                  <w:tcW w:w="1809" w:type="pct"/>
                  <w:vAlign w:val="center"/>
                </w:tcPr>
                <w:p>
                  <w:pPr>
                    <w:pStyle w:val="27"/>
                    <w:jc w:val="center"/>
                    <w:rPr>
                      <w:rFonts w:eastAsia="宋体" w:cs="Times New Roman"/>
                      <w:kern w:val="0"/>
                      <w:szCs w:val="21"/>
                    </w:rPr>
                  </w:pPr>
                  <w:r>
                    <w:rPr>
                      <w:rFonts w:hint="eastAsia" w:eastAsia="宋体" w:cs="Times New Roman"/>
                      <w:kern w:val="0"/>
                      <w:szCs w:val="21"/>
                    </w:rPr>
                    <w:t>《水泥工业大气污染物排放标准》（GB 4915-2013）</w:t>
                  </w:r>
                </w:p>
              </w:tc>
              <w:tc>
                <w:tcPr>
                  <w:tcW w:w="782" w:type="pct"/>
                  <w:vAlign w:val="center"/>
                </w:tcPr>
                <w:p>
                  <w:pPr>
                    <w:pStyle w:val="27"/>
                    <w:jc w:val="center"/>
                    <w:rPr>
                      <w:rFonts w:eastAsia="宋体" w:cs="Times New Roman"/>
                      <w:kern w:val="0"/>
                      <w:szCs w:val="21"/>
                    </w:rPr>
                  </w:pPr>
                  <w:r>
                    <w:rPr>
                      <w:rFonts w:eastAsia="宋体" w:cs="Times New Roman"/>
                      <w:kern w:val="0"/>
                      <w:szCs w:val="21"/>
                    </w:rPr>
                    <w:t>0.5 mg/m</w:t>
                  </w:r>
                  <w:r>
                    <w:rPr>
                      <w:rFonts w:eastAsia="宋体" w:cs="Times New Roman"/>
                      <w:kern w:val="0"/>
                      <w:szCs w:val="21"/>
                      <w:vertAlign w:val="superscript"/>
                    </w:rPr>
                    <w:t>3</w:t>
                  </w:r>
                </w:p>
              </w:tc>
            </w:tr>
          </w:tbl>
          <w:p>
            <w:pPr>
              <w:ind w:firstLine="482" w:firstLineChars="200"/>
              <w:rPr>
                <w:rFonts w:eastAsia="宋体" w:cs="Times New Roman"/>
                <w:b/>
                <w:bCs/>
                <w:kern w:val="0"/>
                <w:szCs w:val="20"/>
              </w:rPr>
            </w:pPr>
            <w:r>
              <w:rPr>
                <w:rFonts w:hint="eastAsia" w:eastAsia="宋体" w:cs="Times New Roman"/>
                <w:b/>
                <w:bCs/>
                <w:kern w:val="0"/>
                <w:szCs w:val="20"/>
              </w:rPr>
              <w:t>（二）地表水环境影响分析</w:t>
            </w:r>
          </w:p>
          <w:p>
            <w:pPr>
              <w:ind w:firstLine="482" w:firstLineChars="200"/>
              <w:rPr>
                <w:rFonts w:eastAsia="宋体" w:cs="Times New Roman"/>
                <w:b/>
                <w:bCs/>
                <w:kern w:val="0"/>
                <w:szCs w:val="20"/>
              </w:rPr>
            </w:pPr>
            <w:r>
              <w:rPr>
                <w:rFonts w:hint="eastAsia" w:eastAsia="宋体" w:cs="Times New Roman"/>
                <w:b/>
                <w:bCs/>
                <w:kern w:val="0"/>
                <w:szCs w:val="20"/>
              </w:rPr>
              <w:t>1、废水污染物源强核算</w:t>
            </w:r>
          </w:p>
          <w:p>
            <w:pPr>
              <w:ind w:firstLine="480" w:firstLineChars="200"/>
              <w:rPr>
                <w:rFonts w:eastAsia="宋体" w:cs="Times New Roman"/>
                <w:kern w:val="0"/>
                <w:szCs w:val="20"/>
              </w:rPr>
            </w:pPr>
            <w:r>
              <w:rPr>
                <w:rFonts w:hint="eastAsia" w:eastAsia="宋体" w:cs="Times New Roman"/>
                <w:kern w:val="0"/>
                <w:szCs w:val="20"/>
              </w:rPr>
              <w:t>（1）车辆冲洗废水</w:t>
            </w:r>
          </w:p>
          <w:p>
            <w:pPr>
              <w:ind w:firstLine="480" w:firstLineChars="200"/>
              <w:rPr>
                <w:rFonts w:eastAsia="宋体" w:cs="Times New Roman"/>
                <w:szCs w:val="21"/>
              </w:rPr>
            </w:pPr>
            <w:r>
              <w:rPr>
                <w:rFonts w:eastAsia="宋体" w:cs="Times New Roman"/>
                <w:szCs w:val="21"/>
              </w:rPr>
              <w:t>车辆冲洗的过程中会有约20%水损耗，本项目冲洗废水日产生量为</w:t>
            </w:r>
            <w:r>
              <w:rPr>
                <w:rFonts w:hint="eastAsia" w:eastAsia="宋体" w:cs="Times New Roman"/>
                <w:szCs w:val="21"/>
              </w:rPr>
              <w:t>3.2</w:t>
            </w:r>
            <w:r>
              <w:rPr>
                <w:rFonts w:eastAsia="宋体" w:cs="Times New Roman"/>
                <w:szCs w:val="21"/>
              </w:rPr>
              <w:t>m</w:t>
            </w:r>
            <w:r>
              <w:rPr>
                <w:rFonts w:eastAsia="宋体" w:cs="Times New Roman"/>
                <w:szCs w:val="21"/>
                <w:vertAlign w:val="superscript"/>
              </w:rPr>
              <w:t>3</w:t>
            </w:r>
            <w:r>
              <w:rPr>
                <w:rFonts w:eastAsia="宋体" w:cs="Times New Roman"/>
                <w:szCs w:val="21"/>
              </w:rPr>
              <w:t>/d</w:t>
            </w:r>
            <w:r>
              <w:rPr>
                <w:rFonts w:hint="eastAsia" w:eastAsia="宋体" w:cs="Times New Roman"/>
                <w:szCs w:val="21"/>
              </w:rPr>
              <w:t>，本项目洗车台应配套建设沉淀池，冲洗废水经沉淀池处理后回用，不外排。即冲洗废水日补充量为0.8m</w:t>
            </w:r>
            <w:r>
              <w:rPr>
                <w:rFonts w:hint="eastAsia" w:eastAsia="宋体" w:cs="Times New Roman"/>
                <w:szCs w:val="21"/>
                <w:vertAlign w:val="superscript"/>
              </w:rPr>
              <w:t>3</w:t>
            </w:r>
            <w:r>
              <w:rPr>
                <w:rFonts w:hint="eastAsia" w:eastAsia="宋体" w:cs="Times New Roman"/>
                <w:szCs w:val="21"/>
              </w:rPr>
              <w:t>/d。</w:t>
            </w:r>
          </w:p>
          <w:p>
            <w:pPr>
              <w:ind w:firstLine="480" w:firstLineChars="200"/>
              <w:rPr>
                <w:rFonts w:eastAsia="宋体" w:cs="Times New Roman"/>
                <w:kern w:val="0"/>
                <w:szCs w:val="21"/>
              </w:rPr>
            </w:pPr>
            <w:r>
              <w:rPr>
                <w:rFonts w:hint="eastAsia" w:eastAsia="宋体" w:cs="Times New Roman"/>
                <w:kern w:val="0"/>
                <w:szCs w:val="21"/>
              </w:rPr>
              <w:t>（2）生活污水</w:t>
            </w:r>
          </w:p>
          <w:p>
            <w:pPr>
              <w:ind w:firstLine="480" w:firstLineChars="200"/>
              <w:rPr>
                <w:rFonts w:eastAsia="宋体" w:cs="Times New Roman"/>
                <w:kern w:val="0"/>
                <w:szCs w:val="21"/>
              </w:rPr>
            </w:pPr>
            <w:r>
              <w:rPr>
                <w:rFonts w:hint="eastAsia" w:eastAsia="宋体" w:cs="Times New Roman"/>
                <w:kern w:val="0"/>
                <w:szCs w:val="21"/>
              </w:rPr>
              <w:t>生活用水量为</w:t>
            </w:r>
            <w:r>
              <w:rPr>
                <w:rFonts w:eastAsia="宋体" w:cs="Times New Roman"/>
                <w:kern w:val="0"/>
                <w:szCs w:val="21"/>
              </w:rPr>
              <w:t>200m</w:t>
            </w:r>
            <w:r>
              <w:rPr>
                <w:rFonts w:eastAsia="宋体" w:cs="Times New Roman"/>
                <w:kern w:val="0"/>
                <w:szCs w:val="21"/>
                <w:vertAlign w:val="superscript"/>
              </w:rPr>
              <w:t>3</w:t>
            </w:r>
            <w:r>
              <w:rPr>
                <w:rFonts w:eastAsia="宋体" w:cs="Times New Roman"/>
                <w:kern w:val="0"/>
                <w:szCs w:val="21"/>
              </w:rPr>
              <w:t>/a</w:t>
            </w:r>
            <w:r>
              <w:rPr>
                <w:rFonts w:hint="eastAsia" w:eastAsia="宋体" w:cs="Times New Roman"/>
                <w:kern w:val="0"/>
                <w:szCs w:val="21"/>
              </w:rPr>
              <w:t>，生活污水产生量按用水量的80%计算，则项目生活污水产生量为</w:t>
            </w:r>
            <w:r>
              <w:rPr>
                <w:rFonts w:eastAsia="宋体" w:cs="Times New Roman"/>
                <w:kern w:val="0"/>
                <w:szCs w:val="21"/>
              </w:rPr>
              <w:t>160</w:t>
            </w:r>
            <w:r>
              <w:rPr>
                <w:rFonts w:hint="eastAsia" w:eastAsia="宋体" w:cs="Times New Roman"/>
                <w:kern w:val="0"/>
                <w:szCs w:val="21"/>
              </w:rPr>
              <w:t>m</w:t>
            </w:r>
            <w:r>
              <w:rPr>
                <w:rFonts w:hint="eastAsia" w:eastAsia="宋体" w:cs="Times New Roman"/>
                <w:kern w:val="0"/>
                <w:szCs w:val="21"/>
                <w:vertAlign w:val="superscript"/>
              </w:rPr>
              <w:t>3</w:t>
            </w:r>
            <w:r>
              <w:rPr>
                <w:rFonts w:hint="eastAsia" w:eastAsia="宋体" w:cs="Times New Roman"/>
                <w:kern w:val="0"/>
                <w:szCs w:val="21"/>
              </w:rPr>
              <w:t>/a，生活污水进入厂区化粪池，定期清掏外运。</w:t>
            </w:r>
          </w:p>
          <w:p>
            <w:pPr>
              <w:pStyle w:val="28"/>
              <w:rPr>
                <w:sz w:val="20"/>
                <w:szCs w:val="20"/>
                <w:lang w:val="en-US"/>
              </w:rPr>
            </w:pPr>
            <w:r>
              <w:rPr>
                <w:rFonts w:hint="eastAsia"/>
                <w:sz w:val="20"/>
                <w:szCs w:val="20"/>
              </w:rPr>
              <w:t>表4-</w:t>
            </w:r>
            <w:r>
              <w:rPr>
                <w:rFonts w:hint="eastAsia"/>
                <w:sz w:val="20"/>
                <w:szCs w:val="20"/>
                <w:lang w:val="en-US"/>
              </w:rPr>
              <w:t>7</w:t>
            </w:r>
            <w:r>
              <w:rPr>
                <w:rFonts w:hint="eastAsia"/>
                <w:sz w:val="20"/>
                <w:szCs w:val="20"/>
              </w:rPr>
              <w:t xml:space="preserve"> 废水类别、污染物及污染治理设施信息表</w:t>
            </w:r>
          </w:p>
          <w:tbl>
            <w:tblPr>
              <w:tblStyle w:val="20"/>
              <w:tblW w:w="4999" w:type="pct"/>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2107"/>
              <w:gridCol w:w="2135"/>
              <w:gridCol w:w="2482"/>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vMerge w:val="restart"/>
                  <w:tcBorders>
                    <w:tl2br w:val="nil"/>
                    <w:tr2bl w:val="nil"/>
                  </w:tcBorders>
                  <w:vAlign w:val="center"/>
                </w:tcPr>
                <w:p>
                  <w:pPr>
                    <w:pStyle w:val="27"/>
                    <w:jc w:val="center"/>
                  </w:pPr>
                  <w:r>
                    <w:t>产污环节</w:t>
                  </w:r>
                </w:p>
              </w:tc>
              <w:tc>
                <w:tcPr>
                  <w:tcW w:w="1415" w:type="pct"/>
                  <w:tcBorders>
                    <w:tl2br w:val="nil"/>
                    <w:tr2bl w:val="nil"/>
                  </w:tcBorders>
                  <w:vAlign w:val="center"/>
                </w:tcPr>
                <w:p>
                  <w:pPr>
                    <w:pStyle w:val="27"/>
                    <w:jc w:val="center"/>
                  </w:pPr>
                  <w:r>
                    <w:rPr>
                      <w:rFonts w:hint="eastAsia"/>
                    </w:rPr>
                    <w:t>洗车废水</w:t>
                  </w:r>
                </w:p>
              </w:tc>
              <w:tc>
                <w:tcPr>
                  <w:tcW w:w="1645" w:type="pct"/>
                  <w:tcBorders>
                    <w:tl2br w:val="nil"/>
                    <w:tr2bl w:val="nil"/>
                  </w:tcBorders>
                  <w:vAlign w:val="center"/>
                </w:tcPr>
                <w:p>
                  <w:pPr>
                    <w:pStyle w:val="27"/>
                    <w:jc w:val="center"/>
                  </w:pPr>
                  <w:r>
                    <w:rPr>
                      <w:rFonts w:hint="eastAsia"/>
                    </w:rPr>
                    <w:t>生活污水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vMerge w:val="continue"/>
                  <w:tcBorders>
                    <w:tl2br w:val="nil"/>
                    <w:tr2bl w:val="nil"/>
                  </w:tcBorders>
                  <w:vAlign w:val="center"/>
                </w:tcPr>
                <w:p>
                  <w:pPr>
                    <w:pStyle w:val="27"/>
                    <w:jc w:val="center"/>
                  </w:pPr>
                </w:p>
              </w:tc>
              <w:tc>
                <w:tcPr>
                  <w:tcW w:w="1415" w:type="pct"/>
                  <w:tcBorders>
                    <w:tl2br w:val="nil"/>
                    <w:tr2bl w:val="nil"/>
                  </w:tcBorders>
                  <w:vAlign w:val="center"/>
                </w:tcPr>
                <w:p>
                  <w:pPr>
                    <w:pStyle w:val="27"/>
                    <w:jc w:val="center"/>
                  </w:pPr>
                  <w:r>
                    <w:rPr>
                      <w:rFonts w:hint="eastAsia"/>
                    </w:rPr>
                    <w:t>进出车辆冲洗</w:t>
                  </w:r>
                </w:p>
              </w:tc>
              <w:tc>
                <w:tcPr>
                  <w:tcW w:w="1645" w:type="pct"/>
                  <w:tcBorders>
                    <w:tl2br w:val="nil"/>
                    <w:tr2bl w:val="nil"/>
                  </w:tcBorders>
                  <w:vAlign w:val="center"/>
                </w:tcPr>
                <w:p>
                  <w:pPr>
                    <w:pStyle w:val="27"/>
                    <w:jc w:val="center"/>
                  </w:pPr>
                  <w:r>
                    <w:rPr>
                      <w:rFonts w:hint="eastAsia"/>
                    </w:rPr>
                    <w:t>职工生活</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tcBorders>
                    <w:tl2br w:val="nil"/>
                    <w:tr2bl w:val="nil"/>
                  </w:tcBorders>
                  <w:vAlign w:val="center"/>
                </w:tcPr>
                <w:p>
                  <w:pPr>
                    <w:pStyle w:val="27"/>
                    <w:jc w:val="center"/>
                  </w:pPr>
                  <w:r>
                    <w:t>产生量m</w:t>
                  </w:r>
                  <w:r>
                    <w:rPr>
                      <w:vertAlign w:val="superscript"/>
                    </w:rPr>
                    <w:t>3</w:t>
                  </w:r>
                  <w:r>
                    <w:t>/</w:t>
                  </w:r>
                  <w:r>
                    <w:rPr>
                      <w:rFonts w:hint="eastAsia"/>
                    </w:rPr>
                    <w:t>d</w:t>
                  </w:r>
                </w:p>
              </w:tc>
              <w:tc>
                <w:tcPr>
                  <w:tcW w:w="1415" w:type="pct"/>
                  <w:tcBorders>
                    <w:tl2br w:val="nil"/>
                    <w:tr2bl w:val="nil"/>
                  </w:tcBorders>
                </w:tcPr>
                <w:p>
                  <w:pPr>
                    <w:pStyle w:val="27"/>
                    <w:jc w:val="center"/>
                  </w:pPr>
                  <w:r>
                    <w:rPr>
                      <w:rFonts w:hint="eastAsia"/>
                    </w:rPr>
                    <w:t>3.2</w:t>
                  </w:r>
                </w:p>
              </w:tc>
              <w:tc>
                <w:tcPr>
                  <w:tcW w:w="1645" w:type="pct"/>
                  <w:tcBorders>
                    <w:tl2br w:val="nil"/>
                    <w:tr2bl w:val="nil"/>
                  </w:tcBorders>
                  <w:vAlign w:val="center"/>
                </w:tcPr>
                <w:p>
                  <w:pPr>
                    <w:pStyle w:val="27"/>
                    <w:jc w:val="center"/>
                  </w:pPr>
                  <w:r>
                    <w:rPr>
                      <w:rFonts w:hint="eastAsia"/>
                    </w:rPr>
                    <w:t>0.53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tcBorders>
                    <w:tl2br w:val="nil"/>
                    <w:tr2bl w:val="nil"/>
                  </w:tcBorders>
                  <w:vAlign w:val="center"/>
                </w:tcPr>
                <w:p>
                  <w:pPr>
                    <w:pStyle w:val="27"/>
                    <w:jc w:val="center"/>
                  </w:pPr>
                  <w:r>
                    <w:t>污染物种类</w:t>
                  </w:r>
                </w:p>
              </w:tc>
              <w:tc>
                <w:tcPr>
                  <w:tcW w:w="1415" w:type="pct"/>
                  <w:tcBorders>
                    <w:tl2br w:val="nil"/>
                    <w:tr2bl w:val="nil"/>
                  </w:tcBorders>
                  <w:vAlign w:val="center"/>
                </w:tcPr>
                <w:p>
                  <w:pPr>
                    <w:pStyle w:val="27"/>
                    <w:jc w:val="center"/>
                  </w:pPr>
                  <w:r>
                    <w:rPr>
                      <w:rFonts w:hint="eastAsia"/>
                    </w:rPr>
                    <w:t>SS</w:t>
                  </w:r>
                </w:p>
              </w:tc>
              <w:tc>
                <w:tcPr>
                  <w:tcW w:w="1645" w:type="pct"/>
                  <w:tcBorders>
                    <w:tl2br w:val="nil"/>
                    <w:tr2bl w:val="nil"/>
                  </w:tcBorders>
                  <w:vAlign w:val="center"/>
                </w:tcPr>
                <w:p>
                  <w:pPr>
                    <w:pStyle w:val="27"/>
                    <w:jc w:val="center"/>
                  </w:pPr>
                  <w:r>
                    <w:rPr>
                      <w:rFonts w:cs="Times New Roman"/>
                      <w:szCs w:val="21"/>
                    </w:rPr>
                    <w:t>COD、BOD</w:t>
                  </w:r>
                  <w:r>
                    <w:rPr>
                      <w:rFonts w:cs="Times New Roman"/>
                      <w:szCs w:val="21"/>
                      <w:vertAlign w:val="subscript"/>
                    </w:rPr>
                    <w:t>5</w:t>
                  </w:r>
                  <w:r>
                    <w:rPr>
                      <w:rFonts w:cs="Times New Roman"/>
                      <w:szCs w:val="21"/>
                    </w:rPr>
                    <w:t>、SS、NH</w:t>
                  </w:r>
                  <w:r>
                    <w:rPr>
                      <w:rFonts w:cs="Times New Roman"/>
                      <w:szCs w:val="21"/>
                      <w:vertAlign w:val="subscript"/>
                    </w:rPr>
                    <w:t>4</w:t>
                  </w:r>
                  <w:r>
                    <w:rPr>
                      <w:rFonts w:cs="Times New Roman"/>
                      <w:szCs w:val="21"/>
                    </w:rPr>
                    <w:t>-N等</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tcBorders>
                    <w:tl2br w:val="nil"/>
                    <w:tr2bl w:val="nil"/>
                  </w:tcBorders>
                  <w:vAlign w:val="center"/>
                </w:tcPr>
                <w:p>
                  <w:pPr>
                    <w:pStyle w:val="27"/>
                    <w:jc w:val="center"/>
                  </w:pPr>
                  <w:r>
                    <w:t>污染物产生浓度mg/L</w:t>
                  </w:r>
                </w:p>
              </w:tc>
              <w:tc>
                <w:tcPr>
                  <w:tcW w:w="1415" w:type="pct"/>
                  <w:tcBorders>
                    <w:tl2br w:val="nil"/>
                    <w:tr2bl w:val="nil"/>
                  </w:tcBorders>
                  <w:vAlign w:val="center"/>
                </w:tcPr>
                <w:p>
                  <w:pPr>
                    <w:pStyle w:val="27"/>
                    <w:jc w:val="center"/>
                  </w:pPr>
                  <w:r>
                    <w:rPr>
                      <w:rFonts w:hint="eastAsia"/>
                    </w:rPr>
                    <w:t>/</w:t>
                  </w:r>
                </w:p>
              </w:tc>
              <w:tc>
                <w:tcPr>
                  <w:tcW w:w="1645" w:type="pct"/>
                  <w:tcBorders>
                    <w:tl2br w:val="nil"/>
                    <w:tr2bl w:val="nil"/>
                  </w:tcBorders>
                  <w:vAlign w:val="center"/>
                </w:tcPr>
                <w:p>
                  <w:pPr>
                    <w:pStyle w:val="27"/>
                    <w:jc w:val="center"/>
                  </w:pPr>
                  <w:r>
                    <w:rPr>
                      <w:rFonts w:hint="eastAsia"/>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tcBorders>
                    <w:tl2br w:val="nil"/>
                    <w:tr2bl w:val="nil"/>
                  </w:tcBorders>
                  <w:vAlign w:val="center"/>
                </w:tcPr>
                <w:p>
                  <w:pPr>
                    <w:pStyle w:val="27"/>
                    <w:jc w:val="center"/>
                  </w:pPr>
                  <w:r>
                    <w:t>污染物产生量t/a</w:t>
                  </w:r>
                </w:p>
              </w:tc>
              <w:tc>
                <w:tcPr>
                  <w:tcW w:w="1415" w:type="pct"/>
                  <w:tcBorders>
                    <w:tl2br w:val="nil"/>
                    <w:tr2bl w:val="nil"/>
                  </w:tcBorders>
                  <w:vAlign w:val="center"/>
                </w:tcPr>
                <w:p>
                  <w:pPr>
                    <w:pStyle w:val="27"/>
                    <w:jc w:val="center"/>
                  </w:pPr>
                  <w:r>
                    <w:rPr>
                      <w:rFonts w:hint="eastAsia"/>
                    </w:rPr>
                    <w:t>/</w:t>
                  </w:r>
                </w:p>
              </w:tc>
              <w:tc>
                <w:tcPr>
                  <w:tcW w:w="1645" w:type="pct"/>
                  <w:tcBorders>
                    <w:tl2br w:val="nil"/>
                    <w:tr2bl w:val="nil"/>
                  </w:tcBorders>
                  <w:vAlign w:val="center"/>
                </w:tcPr>
                <w:p>
                  <w:pPr>
                    <w:pStyle w:val="27"/>
                    <w:jc w:val="center"/>
                  </w:pPr>
                  <w:r>
                    <w:rPr>
                      <w:rFonts w:hint="eastAsia"/>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42" w:type="pct"/>
                  <w:vMerge w:val="restart"/>
                  <w:tcBorders>
                    <w:tl2br w:val="nil"/>
                    <w:tr2bl w:val="nil"/>
                  </w:tcBorders>
                  <w:vAlign w:val="center"/>
                </w:tcPr>
                <w:p>
                  <w:pPr>
                    <w:pStyle w:val="27"/>
                    <w:jc w:val="center"/>
                  </w:pPr>
                  <w:r>
                    <w:t>污染治理设施</w:t>
                  </w:r>
                </w:p>
              </w:tc>
              <w:tc>
                <w:tcPr>
                  <w:tcW w:w="1395" w:type="pct"/>
                  <w:tcBorders>
                    <w:tl2br w:val="nil"/>
                    <w:tr2bl w:val="nil"/>
                  </w:tcBorders>
                  <w:vAlign w:val="center"/>
                </w:tcPr>
                <w:p>
                  <w:pPr>
                    <w:pStyle w:val="27"/>
                    <w:jc w:val="center"/>
                  </w:pPr>
                  <w:r>
                    <w:t>设施编号</w:t>
                  </w:r>
                </w:p>
              </w:tc>
              <w:tc>
                <w:tcPr>
                  <w:tcW w:w="1415" w:type="pct"/>
                  <w:tcBorders>
                    <w:tl2br w:val="nil"/>
                    <w:tr2bl w:val="nil"/>
                  </w:tcBorders>
                  <w:vAlign w:val="center"/>
                </w:tcPr>
                <w:p>
                  <w:pPr>
                    <w:pStyle w:val="27"/>
                    <w:jc w:val="center"/>
                  </w:pPr>
                  <w:r>
                    <w:rPr>
                      <w:rFonts w:hint="eastAsia"/>
                    </w:rPr>
                    <w:t>TW001</w:t>
                  </w:r>
                </w:p>
              </w:tc>
              <w:tc>
                <w:tcPr>
                  <w:tcW w:w="1645" w:type="pct"/>
                  <w:tcBorders>
                    <w:tl2br w:val="nil"/>
                    <w:tr2bl w:val="nil"/>
                  </w:tcBorders>
                  <w:vAlign w:val="center"/>
                </w:tcPr>
                <w:p>
                  <w:pPr>
                    <w:pStyle w:val="27"/>
                    <w:jc w:val="center"/>
                  </w:pPr>
                  <w:r>
                    <w:rPr>
                      <w:rFonts w:hint="eastAsia"/>
                    </w:rPr>
                    <w:t>TW002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42" w:type="pct"/>
                  <w:vMerge w:val="continue"/>
                  <w:tcBorders>
                    <w:tl2br w:val="nil"/>
                    <w:tr2bl w:val="nil"/>
                  </w:tcBorders>
                  <w:vAlign w:val="center"/>
                </w:tcPr>
                <w:p>
                  <w:pPr>
                    <w:pStyle w:val="27"/>
                    <w:jc w:val="center"/>
                  </w:pPr>
                </w:p>
              </w:tc>
              <w:tc>
                <w:tcPr>
                  <w:tcW w:w="1395" w:type="pct"/>
                  <w:tcBorders>
                    <w:tl2br w:val="nil"/>
                    <w:tr2bl w:val="nil"/>
                  </w:tcBorders>
                  <w:vAlign w:val="center"/>
                </w:tcPr>
                <w:p>
                  <w:pPr>
                    <w:pStyle w:val="27"/>
                    <w:jc w:val="center"/>
                  </w:pPr>
                  <w:r>
                    <w:t>设施名称</w:t>
                  </w:r>
                </w:p>
              </w:tc>
              <w:tc>
                <w:tcPr>
                  <w:tcW w:w="1415" w:type="pct"/>
                  <w:tcBorders>
                    <w:tl2br w:val="nil"/>
                    <w:tr2bl w:val="nil"/>
                  </w:tcBorders>
                  <w:vAlign w:val="center"/>
                </w:tcPr>
                <w:p>
                  <w:pPr>
                    <w:pStyle w:val="27"/>
                    <w:jc w:val="center"/>
                  </w:pPr>
                  <w:r>
                    <w:rPr>
                      <w:rFonts w:hint="eastAsia"/>
                    </w:rPr>
                    <w:t>沉淀池</w:t>
                  </w:r>
                </w:p>
              </w:tc>
              <w:tc>
                <w:tcPr>
                  <w:tcW w:w="1645" w:type="pct"/>
                  <w:tcBorders>
                    <w:tl2br w:val="nil"/>
                    <w:tr2bl w:val="nil"/>
                  </w:tcBorders>
                  <w:vAlign w:val="center"/>
                </w:tcPr>
                <w:p>
                  <w:pPr>
                    <w:pStyle w:val="27"/>
                    <w:jc w:val="center"/>
                  </w:pPr>
                  <w:r>
                    <w:rPr>
                      <w:rFonts w:hint="eastAsia"/>
                    </w:rPr>
                    <w:t>化粪池</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42" w:type="pct"/>
                  <w:vMerge w:val="continue"/>
                  <w:tcBorders>
                    <w:tl2br w:val="nil"/>
                    <w:tr2bl w:val="nil"/>
                  </w:tcBorders>
                  <w:vAlign w:val="center"/>
                </w:tcPr>
                <w:p>
                  <w:pPr>
                    <w:pStyle w:val="27"/>
                    <w:jc w:val="center"/>
                  </w:pPr>
                </w:p>
              </w:tc>
              <w:tc>
                <w:tcPr>
                  <w:tcW w:w="1395" w:type="pct"/>
                  <w:tcBorders>
                    <w:tl2br w:val="nil"/>
                    <w:tr2bl w:val="nil"/>
                  </w:tcBorders>
                  <w:vAlign w:val="center"/>
                </w:tcPr>
                <w:p>
                  <w:pPr>
                    <w:pStyle w:val="27"/>
                    <w:jc w:val="center"/>
                  </w:pPr>
                  <w:r>
                    <w:t>处理工艺</w:t>
                  </w:r>
                </w:p>
              </w:tc>
              <w:tc>
                <w:tcPr>
                  <w:tcW w:w="1415" w:type="pct"/>
                  <w:tcBorders>
                    <w:tl2br w:val="nil"/>
                    <w:tr2bl w:val="nil"/>
                  </w:tcBorders>
                  <w:vAlign w:val="center"/>
                </w:tcPr>
                <w:p>
                  <w:pPr>
                    <w:pStyle w:val="27"/>
                    <w:jc w:val="center"/>
                    <w:rPr>
                      <w:rFonts w:eastAsia="宋体"/>
                    </w:rPr>
                  </w:pPr>
                  <w:r>
                    <w:rPr>
                      <w:rFonts w:hint="eastAsia" w:eastAsia="宋体"/>
                    </w:rPr>
                    <w:t>沉淀</w:t>
                  </w:r>
                </w:p>
              </w:tc>
              <w:tc>
                <w:tcPr>
                  <w:tcW w:w="1645" w:type="pct"/>
                  <w:tcBorders>
                    <w:tl2br w:val="nil"/>
                    <w:tr2bl w:val="nil"/>
                  </w:tcBorders>
                  <w:vAlign w:val="center"/>
                </w:tcPr>
                <w:p>
                  <w:pPr>
                    <w:pStyle w:val="27"/>
                    <w:jc w:val="center"/>
                  </w:pPr>
                  <w:r>
                    <w:rPr>
                      <w:rFonts w:hint="eastAsia" w:eastAsia="宋体"/>
                    </w:rPr>
                    <w:t>沉淀</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42" w:type="pct"/>
                  <w:vMerge w:val="continue"/>
                  <w:tcBorders>
                    <w:tl2br w:val="nil"/>
                    <w:tr2bl w:val="nil"/>
                  </w:tcBorders>
                  <w:vAlign w:val="center"/>
                </w:tcPr>
                <w:p>
                  <w:pPr>
                    <w:pStyle w:val="27"/>
                    <w:jc w:val="center"/>
                  </w:pPr>
                </w:p>
              </w:tc>
              <w:tc>
                <w:tcPr>
                  <w:tcW w:w="1395" w:type="pct"/>
                  <w:tcBorders>
                    <w:tl2br w:val="nil"/>
                    <w:tr2bl w:val="nil"/>
                  </w:tcBorders>
                  <w:vAlign w:val="center"/>
                </w:tcPr>
                <w:p>
                  <w:pPr>
                    <w:pStyle w:val="27"/>
                    <w:jc w:val="center"/>
                  </w:pPr>
                  <w:r>
                    <w:t>处理效率</w:t>
                  </w:r>
                </w:p>
              </w:tc>
              <w:tc>
                <w:tcPr>
                  <w:tcW w:w="1415" w:type="pct"/>
                  <w:tcBorders>
                    <w:tl2br w:val="nil"/>
                    <w:tr2bl w:val="nil"/>
                  </w:tcBorders>
                  <w:vAlign w:val="center"/>
                </w:tcPr>
                <w:p>
                  <w:pPr>
                    <w:pStyle w:val="27"/>
                    <w:jc w:val="center"/>
                  </w:pPr>
                  <w:r>
                    <w:t>/</w:t>
                  </w:r>
                </w:p>
              </w:tc>
              <w:tc>
                <w:tcPr>
                  <w:tcW w:w="1645" w:type="pct"/>
                  <w:tcBorders>
                    <w:tl2br w:val="nil"/>
                    <w:tr2bl w:val="nil"/>
                  </w:tcBorders>
                  <w:vAlign w:val="center"/>
                </w:tcPr>
                <w:p>
                  <w:pPr>
                    <w:pStyle w:val="27"/>
                    <w:jc w:val="center"/>
                  </w:pPr>
                  <w: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42" w:type="pct"/>
                  <w:vMerge w:val="continue"/>
                  <w:tcBorders>
                    <w:tl2br w:val="nil"/>
                    <w:tr2bl w:val="nil"/>
                  </w:tcBorders>
                  <w:vAlign w:val="center"/>
                </w:tcPr>
                <w:p>
                  <w:pPr>
                    <w:pStyle w:val="27"/>
                    <w:jc w:val="center"/>
                  </w:pPr>
                </w:p>
              </w:tc>
              <w:tc>
                <w:tcPr>
                  <w:tcW w:w="1395" w:type="pct"/>
                  <w:tcBorders>
                    <w:tl2br w:val="nil"/>
                    <w:tr2bl w:val="nil"/>
                  </w:tcBorders>
                  <w:vAlign w:val="center"/>
                </w:tcPr>
                <w:p>
                  <w:pPr>
                    <w:pStyle w:val="27"/>
                    <w:jc w:val="center"/>
                  </w:pPr>
                  <w:r>
                    <w:t>是否可行</w:t>
                  </w:r>
                </w:p>
              </w:tc>
              <w:tc>
                <w:tcPr>
                  <w:tcW w:w="1415" w:type="pct"/>
                  <w:tcBorders>
                    <w:tl2br w:val="nil"/>
                    <w:tr2bl w:val="nil"/>
                  </w:tcBorders>
                  <w:vAlign w:val="center"/>
                </w:tcPr>
                <w:p>
                  <w:pPr>
                    <w:pStyle w:val="27"/>
                    <w:jc w:val="center"/>
                  </w:pPr>
                  <w:r>
                    <w:t>可行</w:t>
                  </w:r>
                </w:p>
              </w:tc>
              <w:tc>
                <w:tcPr>
                  <w:tcW w:w="1645" w:type="pct"/>
                  <w:tcBorders>
                    <w:tl2br w:val="nil"/>
                    <w:tr2bl w:val="nil"/>
                  </w:tcBorders>
                  <w:vAlign w:val="center"/>
                </w:tcPr>
                <w:p>
                  <w:pPr>
                    <w:pStyle w:val="27"/>
                    <w:jc w:val="center"/>
                  </w:pPr>
                  <w:r>
                    <w:t>可行</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tcBorders>
                    <w:tl2br w:val="nil"/>
                    <w:tr2bl w:val="nil"/>
                  </w:tcBorders>
                  <w:vAlign w:val="center"/>
                </w:tcPr>
                <w:p>
                  <w:pPr>
                    <w:pStyle w:val="27"/>
                    <w:jc w:val="center"/>
                  </w:pPr>
                  <w:r>
                    <w:t>污染物排放浓度</w:t>
                  </w:r>
                </w:p>
              </w:tc>
              <w:tc>
                <w:tcPr>
                  <w:tcW w:w="1415" w:type="pct"/>
                  <w:tcBorders>
                    <w:tl2br w:val="nil"/>
                    <w:tr2bl w:val="nil"/>
                  </w:tcBorders>
                  <w:vAlign w:val="center"/>
                </w:tcPr>
                <w:p>
                  <w:pPr>
                    <w:pStyle w:val="27"/>
                    <w:jc w:val="center"/>
                  </w:pPr>
                  <w:r>
                    <w:t>/</w:t>
                  </w:r>
                </w:p>
              </w:tc>
              <w:tc>
                <w:tcPr>
                  <w:tcW w:w="1645" w:type="pct"/>
                  <w:tcBorders>
                    <w:tl2br w:val="nil"/>
                    <w:tr2bl w:val="nil"/>
                  </w:tcBorders>
                  <w:vAlign w:val="center"/>
                </w:tcPr>
                <w:p>
                  <w:pPr>
                    <w:pStyle w:val="27"/>
                    <w:jc w:val="center"/>
                  </w:pPr>
                  <w: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tcBorders>
                    <w:tl2br w:val="nil"/>
                    <w:tr2bl w:val="nil"/>
                  </w:tcBorders>
                  <w:vAlign w:val="center"/>
                </w:tcPr>
                <w:p>
                  <w:pPr>
                    <w:pStyle w:val="27"/>
                    <w:jc w:val="center"/>
                  </w:pPr>
                  <w:r>
                    <w:t>废水排放量m</w:t>
                  </w:r>
                  <w:r>
                    <w:rPr>
                      <w:vertAlign w:val="superscript"/>
                    </w:rPr>
                    <w:t>3</w:t>
                  </w:r>
                  <w:r>
                    <w:t>/d</w:t>
                  </w:r>
                </w:p>
              </w:tc>
              <w:tc>
                <w:tcPr>
                  <w:tcW w:w="1415" w:type="pct"/>
                  <w:tcBorders>
                    <w:tl2br w:val="nil"/>
                    <w:tr2bl w:val="nil"/>
                  </w:tcBorders>
                  <w:vAlign w:val="center"/>
                </w:tcPr>
                <w:p>
                  <w:pPr>
                    <w:pStyle w:val="27"/>
                    <w:jc w:val="center"/>
                  </w:pPr>
                  <w:r>
                    <w:t>0</w:t>
                  </w:r>
                </w:p>
              </w:tc>
              <w:tc>
                <w:tcPr>
                  <w:tcW w:w="1645" w:type="pct"/>
                  <w:tcBorders>
                    <w:tl2br w:val="nil"/>
                    <w:tr2bl w:val="nil"/>
                  </w:tcBorders>
                  <w:vAlign w:val="center"/>
                </w:tcPr>
                <w:p>
                  <w:pPr>
                    <w:pStyle w:val="27"/>
                    <w:jc w:val="center"/>
                  </w:pPr>
                  <w:r>
                    <w:t>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tcBorders>
                    <w:tl2br w:val="nil"/>
                    <w:tr2bl w:val="nil"/>
                  </w:tcBorders>
                  <w:vAlign w:val="center"/>
                </w:tcPr>
                <w:p>
                  <w:pPr>
                    <w:pStyle w:val="27"/>
                    <w:jc w:val="center"/>
                  </w:pPr>
                  <w:r>
                    <w:t>污染物排放量t/a</w:t>
                  </w:r>
                </w:p>
              </w:tc>
              <w:tc>
                <w:tcPr>
                  <w:tcW w:w="1415" w:type="pct"/>
                  <w:tcBorders>
                    <w:tl2br w:val="nil"/>
                    <w:tr2bl w:val="nil"/>
                  </w:tcBorders>
                  <w:vAlign w:val="center"/>
                </w:tcPr>
                <w:p>
                  <w:pPr>
                    <w:pStyle w:val="27"/>
                    <w:jc w:val="center"/>
                  </w:pPr>
                  <w:r>
                    <w:t>/</w:t>
                  </w:r>
                </w:p>
              </w:tc>
              <w:tc>
                <w:tcPr>
                  <w:tcW w:w="1645" w:type="pct"/>
                  <w:tcBorders>
                    <w:tl2br w:val="nil"/>
                    <w:tr2bl w:val="nil"/>
                  </w:tcBorders>
                  <w:vAlign w:val="center"/>
                </w:tcPr>
                <w:p>
                  <w:pPr>
                    <w:pStyle w:val="27"/>
                    <w:jc w:val="center"/>
                  </w:pPr>
                  <w: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938" w:type="pct"/>
                  <w:gridSpan w:val="2"/>
                  <w:tcBorders>
                    <w:tl2br w:val="nil"/>
                    <w:tr2bl w:val="nil"/>
                  </w:tcBorders>
                  <w:vAlign w:val="center"/>
                </w:tcPr>
                <w:p>
                  <w:pPr>
                    <w:pStyle w:val="27"/>
                    <w:jc w:val="center"/>
                  </w:pPr>
                  <w:r>
                    <w:t>排放去向</w:t>
                  </w:r>
                </w:p>
              </w:tc>
              <w:tc>
                <w:tcPr>
                  <w:tcW w:w="1415" w:type="pct"/>
                  <w:tcBorders>
                    <w:tl2br w:val="nil"/>
                    <w:tr2bl w:val="nil"/>
                  </w:tcBorders>
                  <w:vAlign w:val="center"/>
                </w:tcPr>
                <w:p>
                  <w:pPr>
                    <w:pStyle w:val="27"/>
                    <w:jc w:val="center"/>
                  </w:pPr>
                  <w:r>
                    <w:rPr>
                      <w:rFonts w:hint="eastAsia"/>
                    </w:rPr>
                    <w:t>回用于洗车</w:t>
                  </w:r>
                </w:p>
              </w:tc>
              <w:tc>
                <w:tcPr>
                  <w:tcW w:w="1645" w:type="pct"/>
                  <w:tcBorders>
                    <w:tl2br w:val="nil"/>
                    <w:tr2bl w:val="nil"/>
                  </w:tcBorders>
                  <w:vAlign w:val="center"/>
                </w:tcPr>
                <w:p>
                  <w:pPr>
                    <w:pStyle w:val="27"/>
                    <w:jc w:val="center"/>
                  </w:pPr>
                  <w:r>
                    <w:rPr>
                      <w:rFonts w:hint="eastAsia"/>
                    </w:rPr>
                    <w:t>定期清掏</w:t>
                  </w:r>
                </w:p>
              </w:tc>
            </w:tr>
          </w:tbl>
          <w:p>
            <w:pPr>
              <w:ind w:firstLine="482" w:firstLineChars="200"/>
              <w:rPr>
                <w:rFonts w:eastAsia="宋体" w:cs="Times New Roman"/>
                <w:b/>
                <w:bCs/>
                <w:kern w:val="0"/>
                <w:szCs w:val="20"/>
              </w:rPr>
            </w:pPr>
            <w:r>
              <w:rPr>
                <w:rFonts w:hint="eastAsia" w:eastAsia="宋体" w:cs="Times New Roman"/>
                <w:b/>
                <w:bCs/>
                <w:kern w:val="0"/>
                <w:szCs w:val="20"/>
              </w:rPr>
              <w:t>2、废水治理措施可行性分析</w:t>
            </w:r>
          </w:p>
          <w:p>
            <w:pPr>
              <w:tabs>
                <w:tab w:val="left" w:pos="3240"/>
              </w:tabs>
              <w:adjustRightInd w:val="0"/>
              <w:snapToGrid w:val="0"/>
              <w:ind w:firstLine="480" w:firstLineChars="200"/>
              <w:rPr>
                <w:rFonts w:eastAsia="宋体" w:cs="Times New Roman"/>
                <w:kern w:val="0"/>
                <w:szCs w:val="24"/>
              </w:rPr>
            </w:pPr>
            <w:r>
              <w:rPr>
                <w:rFonts w:eastAsia="宋体" w:cs="Times New Roman"/>
                <w:kern w:val="0"/>
                <w:szCs w:val="24"/>
              </w:rPr>
              <w:t>本项目废水主要为生活污水和</w:t>
            </w:r>
            <w:r>
              <w:rPr>
                <w:rFonts w:hint="eastAsia" w:eastAsia="宋体" w:cs="Times New Roman"/>
                <w:kern w:val="0"/>
                <w:szCs w:val="24"/>
              </w:rPr>
              <w:t>洗车</w:t>
            </w:r>
            <w:r>
              <w:rPr>
                <w:rFonts w:eastAsia="宋体" w:cs="Times New Roman"/>
                <w:kern w:val="0"/>
                <w:szCs w:val="24"/>
              </w:rPr>
              <w:t>废水，</w:t>
            </w:r>
            <w:r>
              <w:rPr>
                <w:rFonts w:hint="eastAsia" w:eastAsia="宋体" w:cs="Times New Roman"/>
                <w:kern w:val="0"/>
                <w:szCs w:val="24"/>
              </w:rPr>
              <w:t>洗车</w:t>
            </w:r>
            <w:r>
              <w:rPr>
                <w:rFonts w:eastAsia="宋体" w:cs="Times New Roman"/>
                <w:kern w:val="0"/>
                <w:szCs w:val="24"/>
              </w:rPr>
              <w:t>废水中含有泥、砂石等物质，悬浮物浓度较高，若未经收集、处理，会对本项目所在地及周边土壤甚至地下水环境造成影响。</w:t>
            </w:r>
          </w:p>
          <w:p>
            <w:pPr>
              <w:ind w:firstLine="480" w:firstLineChars="200"/>
              <w:rPr>
                <w:rFonts w:eastAsia="宋体" w:cs="Times New Roman"/>
                <w:kern w:val="0"/>
                <w:szCs w:val="24"/>
              </w:rPr>
            </w:pPr>
            <w:r>
              <w:rPr>
                <w:rFonts w:hint="eastAsia" w:eastAsia="宋体" w:cs="Times New Roman"/>
                <w:kern w:val="0"/>
                <w:szCs w:val="24"/>
              </w:rPr>
              <w:t>①洗车废水</w:t>
            </w:r>
          </w:p>
          <w:p>
            <w:pPr>
              <w:ind w:firstLine="480" w:firstLineChars="200"/>
              <w:rPr>
                <w:rFonts w:eastAsia="宋体" w:cs="Times New Roman"/>
                <w:kern w:val="0"/>
                <w:szCs w:val="20"/>
              </w:rPr>
            </w:pPr>
            <w:r>
              <w:rPr>
                <w:rFonts w:eastAsia="宋体" w:cs="Times New Roman"/>
                <w:kern w:val="0"/>
                <w:szCs w:val="24"/>
              </w:rPr>
              <w:t>厂区在进出场通道设有</w:t>
            </w:r>
            <w:r>
              <w:rPr>
                <w:rFonts w:hint="eastAsia" w:eastAsia="宋体" w:cs="Times New Roman"/>
                <w:kern w:val="0"/>
                <w:szCs w:val="24"/>
              </w:rPr>
              <w:t>1</w:t>
            </w:r>
            <w:r>
              <w:rPr>
                <w:rFonts w:eastAsia="宋体" w:cs="Times New Roman"/>
                <w:kern w:val="0"/>
                <w:szCs w:val="24"/>
              </w:rPr>
              <w:t>座洗车台，并配有沉淀池（</w:t>
            </w:r>
            <w:r>
              <w:rPr>
                <w:rFonts w:eastAsia="宋体" w:cs="Times New Roman"/>
                <w:szCs w:val="24"/>
              </w:rPr>
              <w:t>5m</w:t>
            </w:r>
            <w:r>
              <w:rPr>
                <w:rFonts w:eastAsia="宋体" w:cs="Times New Roman"/>
                <w:szCs w:val="24"/>
                <w:vertAlign w:val="superscript"/>
              </w:rPr>
              <w:t>3</w:t>
            </w:r>
            <w:r>
              <w:rPr>
                <w:rFonts w:eastAsia="宋体" w:cs="Times New Roman"/>
                <w:kern w:val="0"/>
                <w:szCs w:val="24"/>
              </w:rPr>
              <w:t>）收集车辆冲洗废水，可接纳本项目车辆冲洗废水，该部分废水经沉淀处理后回用于车辆冲洗，不外排</w:t>
            </w:r>
            <w:r>
              <w:rPr>
                <w:rFonts w:hint="eastAsia" w:eastAsia="宋体" w:cs="Times New Roman"/>
                <w:kern w:val="0"/>
                <w:szCs w:val="20"/>
              </w:rPr>
              <w:t>。</w:t>
            </w:r>
          </w:p>
          <w:p>
            <w:pPr>
              <w:ind w:firstLine="480" w:firstLineChars="200"/>
              <w:rPr>
                <w:rFonts w:eastAsia="宋体" w:cs="Times New Roman"/>
                <w:kern w:val="0"/>
                <w:szCs w:val="20"/>
              </w:rPr>
            </w:pPr>
            <w:r>
              <w:rPr>
                <w:rFonts w:hint="eastAsia" w:eastAsia="宋体" w:cs="Times New Roman"/>
                <w:kern w:val="0"/>
                <w:szCs w:val="20"/>
              </w:rPr>
              <w:t>②生活污水</w:t>
            </w:r>
          </w:p>
          <w:p>
            <w:pPr>
              <w:ind w:firstLine="480" w:firstLineChars="200"/>
              <w:rPr>
                <w:rFonts w:eastAsia="宋体" w:cs="Times New Roman"/>
                <w:kern w:val="0"/>
                <w:szCs w:val="20"/>
              </w:rPr>
            </w:pPr>
            <w:r>
              <w:rPr>
                <w:rFonts w:hint="eastAsia" w:eastAsia="宋体" w:cs="Times New Roman"/>
                <w:kern w:val="0"/>
                <w:szCs w:val="20"/>
              </w:rPr>
              <w:t>本项目拟建化粪池（2</w:t>
            </w:r>
            <w:r>
              <w:rPr>
                <w:rFonts w:eastAsia="宋体" w:cs="Times New Roman"/>
                <w:kern w:val="0"/>
                <w:szCs w:val="20"/>
              </w:rPr>
              <w:t>0m</w:t>
            </w:r>
            <w:r>
              <w:rPr>
                <w:rFonts w:eastAsia="宋体" w:cs="Times New Roman"/>
                <w:kern w:val="0"/>
                <w:szCs w:val="20"/>
                <w:vertAlign w:val="superscript"/>
              </w:rPr>
              <w:t>3</w:t>
            </w:r>
            <w:r>
              <w:rPr>
                <w:rFonts w:hint="eastAsia" w:eastAsia="宋体" w:cs="Times New Roman"/>
                <w:kern w:val="0"/>
                <w:szCs w:val="20"/>
              </w:rPr>
              <w:t>）一座，仅接纳本项目产生的生活污水。化粪池容积最多可容纳</w:t>
            </w:r>
            <w:r>
              <w:rPr>
                <w:rFonts w:eastAsia="宋体" w:cs="Times New Roman"/>
                <w:kern w:val="0"/>
                <w:szCs w:val="20"/>
              </w:rPr>
              <w:t>30</w:t>
            </w:r>
            <w:r>
              <w:rPr>
                <w:rFonts w:hint="eastAsia" w:eastAsia="宋体" w:cs="Times New Roman"/>
                <w:kern w:val="0"/>
                <w:szCs w:val="20"/>
              </w:rPr>
              <w:t>天污水量，环评建议化粪池每月清掏一次外运肥田，生活污水处置合理妥当。</w:t>
            </w:r>
          </w:p>
          <w:p>
            <w:pPr>
              <w:ind w:firstLine="480" w:firstLineChars="200"/>
              <w:rPr>
                <w:rFonts w:eastAsia="宋体" w:cs="Times New Roman"/>
                <w:kern w:val="0"/>
                <w:szCs w:val="20"/>
              </w:rPr>
            </w:pPr>
            <w:r>
              <w:rPr>
                <w:rFonts w:hint="eastAsia" w:eastAsia="宋体" w:cs="Times New Roman"/>
                <w:kern w:val="0"/>
                <w:szCs w:val="20"/>
              </w:rPr>
              <w:t>综上所述，本项目在采取环评提出的各项废水防治措施后，生活污水和洗车废水均可得到合理处置，对环境影响较小，废水处理技术可行。</w:t>
            </w:r>
          </w:p>
          <w:p>
            <w:pPr>
              <w:ind w:firstLine="482" w:firstLineChars="200"/>
              <w:rPr>
                <w:rFonts w:eastAsia="宋体" w:cs="Times New Roman"/>
                <w:b/>
                <w:bCs/>
                <w:kern w:val="0"/>
                <w:szCs w:val="20"/>
              </w:rPr>
            </w:pPr>
            <w:r>
              <w:rPr>
                <w:rFonts w:hint="eastAsia" w:eastAsia="宋体" w:cs="Times New Roman"/>
                <w:b/>
                <w:bCs/>
                <w:kern w:val="0"/>
                <w:szCs w:val="20"/>
              </w:rPr>
              <w:t>（三）声环境影响分析</w:t>
            </w:r>
          </w:p>
          <w:p>
            <w:pPr>
              <w:ind w:firstLine="480"/>
              <w:rPr>
                <w:rFonts w:eastAsia="宋体" w:cs="Times New Roman"/>
                <w:b/>
                <w:snapToGrid w:val="0"/>
                <w:kern w:val="0"/>
                <w:szCs w:val="20"/>
              </w:rPr>
            </w:pPr>
            <w:r>
              <w:rPr>
                <w:rFonts w:eastAsia="宋体" w:cs="Times New Roman"/>
                <w:b/>
                <w:snapToGrid w:val="0"/>
                <w:kern w:val="0"/>
                <w:szCs w:val="24"/>
              </w:rPr>
              <w:t>1、</w:t>
            </w:r>
            <w:r>
              <w:rPr>
                <w:rFonts w:eastAsia="宋体" w:cs="Times New Roman"/>
                <w:b/>
                <w:kern w:val="0"/>
                <w:szCs w:val="24"/>
              </w:rPr>
              <w:t>噪声源强分析</w:t>
            </w:r>
          </w:p>
          <w:p>
            <w:pPr>
              <w:ind w:firstLine="480" w:firstLineChars="200"/>
              <w:rPr>
                <w:rFonts w:eastAsia="宋体" w:cs="Times New Roman"/>
                <w:kern w:val="0"/>
                <w:szCs w:val="20"/>
              </w:rPr>
            </w:pPr>
            <w:r>
              <w:rPr>
                <w:rFonts w:hint="eastAsia" w:eastAsia="宋体" w:cs="Times New Roman"/>
                <w:kern w:val="0"/>
                <w:szCs w:val="20"/>
              </w:rPr>
              <w:t>本项目生产线采用先进的生产设备及生产工艺，具有运行平稳、噪声小、生产能力高、易于控制等特点，噪声主要为各类风机、各类水泵等设备，其噪声源强为75~88dB（A），针对不同的噪声特性，本次评价提出了相应的防治措施。本项目各噪声源强及防治措施见表4-8。</w:t>
            </w:r>
          </w:p>
          <w:p>
            <w:pPr>
              <w:pStyle w:val="28"/>
              <w:rPr>
                <w:szCs w:val="21"/>
              </w:rPr>
            </w:pPr>
            <w:r>
              <w:rPr>
                <w:rFonts w:hint="eastAsia"/>
                <w:szCs w:val="21"/>
              </w:rPr>
              <w:t>表4-</w:t>
            </w:r>
            <w:r>
              <w:rPr>
                <w:rFonts w:hint="eastAsia"/>
                <w:szCs w:val="21"/>
                <w:lang w:val="en-US"/>
              </w:rPr>
              <w:t xml:space="preserve">8 </w:t>
            </w:r>
            <w:r>
              <w:rPr>
                <w:rFonts w:hint="eastAsia"/>
                <w:szCs w:val="21"/>
              </w:rPr>
              <w:t xml:space="preserve"> 本项目噪声源声级值</w:t>
            </w:r>
          </w:p>
          <w:tbl>
            <w:tblPr>
              <w:tblStyle w:val="20"/>
              <w:tblW w:w="499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23"/>
              <w:gridCol w:w="851"/>
              <w:gridCol w:w="982"/>
              <w:gridCol w:w="1153"/>
              <w:gridCol w:w="28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3" w:type="pct"/>
                  <w:vAlign w:val="center"/>
                </w:tcPr>
                <w:p>
                  <w:pPr>
                    <w:pStyle w:val="27"/>
                    <w:jc w:val="center"/>
                    <w:rPr>
                      <w:szCs w:val="21"/>
                    </w:rPr>
                  </w:pPr>
                  <w:bookmarkStart w:id="5" w:name="_Hlk40425076"/>
                  <w:r>
                    <w:rPr>
                      <w:szCs w:val="21"/>
                    </w:rPr>
                    <w:t>序号</w:t>
                  </w:r>
                </w:p>
              </w:tc>
              <w:tc>
                <w:tcPr>
                  <w:tcW w:w="812" w:type="pct"/>
                  <w:vAlign w:val="center"/>
                </w:tcPr>
                <w:p>
                  <w:pPr>
                    <w:pStyle w:val="27"/>
                    <w:jc w:val="center"/>
                    <w:rPr>
                      <w:szCs w:val="21"/>
                    </w:rPr>
                  </w:pPr>
                  <w:r>
                    <w:rPr>
                      <w:szCs w:val="21"/>
                    </w:rPr>
                    <w:t>设备名称</w:t>
                  </w:r>
                </w:p>
              </w:tc>
              <w:tc>
                <w:tcPr>
                  <w:tcW w:w="565" w:type="pct"/>
                  <w:vAlign w:val="center"/>
                </w:tcPr>
                <w:p>
                  <w:pPr>
                    <w:pStyle w:val="27"/>
                    <w:jc w:val="center"/>
                    <w:rPr>
                      <w:szCs w:val="21"/>
                    </w:rPr>
                  </w:pPr>
                  <w:r>
                    <w:rPr>
                      <w:szCs w:val="21"/>
                    </w:rPr>
                    <w:t>源强dB(A)</w:t>
                  </w:r>
                </w:p>
              </w:tc>
              <w:tc>
                <w:tcPr>
                  <w:tcW w:w="652" w:type="pct"/>
                  <w:vAlign w:val="center"/>
                </w:tcPr>
                <w:p>
                  <w:pPr>
                    <w:pStyle w:val="27"/>
                    <w:jc w:val="center"/>
                    <w:rPr>
                      <w:szCs w:val="21"/>
                    </w:rPr>
                  </w:pPr>
                  <w:r>
                    <w:rPr>
                      <w:szCs w:val="21"/>
                    </w:rPr>
                    <w:t>数量</w:t>
                  </w:r>
                </w:p>
                <w:p>
                  <w:pPr>
                    <w:pStyle w:val="27"/>
                    <w:jc w:val="center"/>
                    <w:rPr>
                      <w:szCs w:val="21"/>
                    </w:rPr>
                  </w:pPr>
                  <w:r>
                    <w:rPr>
                      <w:rFonts w:hint="eastAsia"/>
                      <w:szCs w:val="21"/>
                    </w:rPr>
                    <w:t>（台套）</w:t>
                  </w:r>
                </w:p>
              </w:tc>
              <w:tc>
                <w:tcPr>
                  <w:tcW w:w="766" w:type="pct"/>
                  <w:vAlign w:val="center"/>
                </w:tcPr>
                <w:p>
                  <w:pPr>
                    <w:pStyle w:val="27"/>
                    <w:jc w:val="center"/>
                    <w:rPr>
                      <w:szCs w:val="21"/>
                    </w:rPr>
                  </w:pPr>
                  <w:r>
                    <w:rPr>
                      <w:szCs w:val="21"/>
                    </w:rPr>
                    <w:t>采取措施后源强dB(A)</w:t>
                  </w:r>
                </w:p>
              </w:tc>
              <w:tc>
                <w:tcPr>
                  <w:tcW w:w="1922" w:type="pct"/>
                  <w:vAlign w:val="center"/>
                </w:tcPr>
                <w:p>
                  <w:pPr>
                    <w:pStyle w:val="27"/>
                    <w:jc w:val="center"/>
                    <w:rPr>
                      <w:szCs w:val="21"/>
                    </w:rPr>
                  </w:pPr>
                  <w:r>
                    <w:rPr>
                      <w:szCs w:val="21"/>
                    </w:rPr>
                    <w:t>降噪措施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3" w:type="pct"/>
                  <w:vAlign w:val="center"/>
                </w:tcPr>
                <w:p>
                  <w:pPr>
                    <w:pStyle w:val="27"/>
                    <w:jc w:val="center"/>
                    <w:rPr>
                      <w:szCs w:val="21"/>
                    </w:rPr>
                  </w:pPr>
                  <w:r>
                    <w:rPr>
                      <w:szCs w:val="21"/>
                    </w:rPr>
                    <w:t>1</w:t>
                  </w:r>
                </w:p>
              </w:tc>
              <w:tc>
                <w:tcPr>
                  <w:tcW w:w="812" w:type="pct"/>
                  <w:vAlign w:val="center"/>
                </w:tcPr>
                <w:p>
                  <w:pPr>
                    <w:pStyle w:val="27"/>
                    <w:jc w:val="center"/>
                    <w:rPr>
                      <w:szCs w:val="21"/>
                    </w:rPr>
                  </w:pPr>
                  <w:r>
                    <w:rPr>
                      <w:rFonts w:hint="eastAsia"/>
                      <w:szCs w:val="21"/>
                    </w:rPr>
                    <w:t>破碎机</w:t>
                  </w:r>
                </w:p>
              </w:tc>
              <w:tc>
                <w:tcPr>
                  <w:tcW w:w="565" w:type="pct"/>
                  <w:vAlign w:val="center"/>
                </w:tcPr>
                <w:p>
                  <w:pPr>
                    <w:pStyle w:val="27"/>
                    <w:jc w:val="center"/>
                    <w:rPr>
                      <w:szCs w:val="21"/>
                    </w:rPr>
                  </w:pPr>
                  <w:r>
                    <w:rPr>
                      <w:szCs w:val="21"/>
                    </w:rPr>
                    <w:t>88</w:t>
                  </w:r>
                </w:p>
              </w:tc>
              <w:tc>
                <w:tcPr>
                  <w:tcW w:w="652" w:type="pct"/>
                  <w:vAlign w:val="center"/>
                </w:tcPr>
                <w:p>
                  <w:pPr>
                    <w:pStyle w:val="27"/>
                    <w:jc w:val="center"/>
                    <w:rPr>
                      <w:szCs w:val="21"/>
                    </w:rPr>
                  </w:pPr>
                  <w:r>
                    <w:rPr>
                      <w:rFonts w:hint="eastAsia"/>
                      <w:szCs w:val="21"/>
                    </w:rPr>
                    <w:t>2</w:t>
                  </w:r>
                </w:p>
              </w:tc>
              <w:tc>
                <w:tcPr>
                  <w:tcW w:w="766" w:type="pct"/>
                  <w:vAlign w:val="center"/>
                </w:tcPr>
                <w:p>
                  <w:pPr>
                    <w:pStyle w:val="27"/>
                    <w:jc w:val="center"/>
                    <w:rPr>
                      <w:szCs w:val="21"/>
                    </w:rPr>
                  </w:pPr>
                  <w:r>
                    <w:rPr>
                      <w:szCs w:val="21"/>
                    </w:rPr>
                    <w:t>73</w:t>
                  </w:r>
                </w:p>
              </w:tc>
              <w:tc>
                <w:tcPr>
                  <w:tcW w:w="1922" w:type="pct"/>
                  <w:vMerge w:val="restart"/>
                  <w:vAlign w:val="center"/>
                </w:tcPr>
                <w:p>
                  <w:pPr>
                    <w:pStyle w:val="27"/>
                    <w:jc w:val="center"/>
                    <w:rPr>
                      <w:szCs w:val="21"/>
                    </w:rPr>
                  </w:pPr>
                  <w:r>
                    <w:rPr>
                      <w:rFonts w:hint="eastAsia"/>
                      <w:szCs w:val="21"/>
                    </w:rPr>
                    <w:t>半地下设置、基础减振、厂房隔声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3" w:type="pct"/>
                  <w:vAlign w:val="center"/>
                </w:tcPr>
                <w:p>
                  <w:pPr>
                    <w:pStyle w:val="27"/>
                    <w:jc w:val="center"/>
                    <w:rPr>
                      <w:szCs w:val="21"/>
                    </w:rPr>
                  </w:pPr>
                  <w:r>
                    <w:rPr>
                      <w:szCs w:val="21"/>
                    </w:rPr>
                    <w:t>2</w:t>
                  </w:r>
                </w:p>
              </w:tc>
              <w:tc>
                <w:tcPr>
                  <w:tcW w:w="812" w:type="pct"/>
                  <w:vAlign w:val="center"/>
                </w:tcPr>
                <w:p>
                  <w:pPr>
                    <w:pStyle w:val="27"/>
                    <w:jc w:val="center"/>
                    <w:rPr>
                      <w:szCs w:val="21"/>
                    </w:rPr>
                  </w:pPr>
                  <w:r>
                    <w:rPr>
                      <w:rFonts w:hint="eastAsia"/>
                      <w:szCs w:val="21"/>
                    </w:rPr>
                    <w:t>研磨机</w:t>
                  </w:r>
                </w:p>
              </w:tc>
              <w:tc>
                <w:tcPr>
                  <w:tcW w:w="565" w:type="pct"/>
                  <w:vAlign w:val="center"/>
                </w:tcPr>
                <w:p>
                  <w:pPr>
                    <w:pStyle w:val="27"/>
                    <w:jc w:val="center"/>
                    <w:rPr>
                      <w:szCs w:val="21"/>
                    </w:rPr>
                  </w:pPr>
                  <w:r>
                    <w:rPr>
                      <w:szCs w:val="21"/>
                    </w:rPr>
                    <w:t>84</w:t>
                  </w:r>
                </w:p>
              </w:tc>
              <w:tc>
                <w:tcPr>
                  <w:tcW w:w="652" w:type="pct"/>
                  <w:vAlign w:val="center"/>
                </w:tcPr>
                <w:p>
                  <w:pPr>
                    <w:pStyle w:val="27"/>
                    <w:jc w:val="center"/>
                    <w:rPr>
                      <w:szCs w:val="21"/>
                    </w:rPr>
                  </w:pPr>
                  <w:r>
                    <w:rPr>
                      <w:rFonts w:hint="eastAsia"/>
                      <w:szCs w:val="21"/>
                    </w:rPr>
                    <w:t>4</w:t>
                  </w:r>
                </w:p>
              </w:tc>
              <w:tc>
                <w:tcPr>
                  <w:tcW w:w="766" w:type="pct"/>
                  <w:vAlign w:val="center"/>
                </w:tcPr>
                <w:p>
                  <w:pPr>
                    <w:pStyle w:val="27"/>
                    <w:jc w:val="center"/>
                    <w:rPr>
                      <w:szCs w:val="21"/>
                    </w:rPr>
                  </w:pPr>
                  <w:r>
                    <w:rPr>
                      <w:szCs w:val="21"/>
                    </w:rPr>
                    <w:t>69</w:t>
                  </w:r>
                </w:p>
              </w:tc>
              <w:tc>
                <w:tcPr>
                  <w:tcW w:w="1922" w:type="pct"/>
                  <w:vMerge w:val="continue"/>
                  <w:vAlign w:val="center"/>
                </w:tcPr>
                <w:p>
                  <w:pPr>
                    <w:pStyle w:val="27"/>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3" w:type="pct"/>
                  <w:vAlign w:val="center"/>
                </w:tcPr>
                <w:p>
                  <w:pPr>
                    <w:pStyle w:val="27"/>
                    <w:jc w:val="center"/>
                    <w:rPr>
                      <w:szCs w:val="21"/>
                    </w:rPr>
                  </w:pPr>
                  <w:r>
                    <w:rPr>
                      <w:szCs w:val="21"/>
                    </w:rPr>
                    <w:t>3</w:t>
                  </w:r>
                </w:p>
              </w:tc>
              <w:tc>
                <w:tcPr>
                  <w:tcW w:w="812" w:type="pct"/>
                  <w:vAlign w:val="center"/>
                </w:tcPr>
                <w:p>
                  <w:pPr>
                    <w:pStyle w:val="27"/>
                    <w:jc w:val="center"/>
                    <w:rPr>
                      <w:szCs w:val="21"/>
                    </w:rPr>
                  </w:pPr>
                  <w:r>
                    <w:rPr>
                      <w:rFonts w:hint="eastAsia"/>
                      <w:szCs w:val="21"/>
                    </w:rPr>
                    <w:t>活化粉机</w:t>
                  </w:r>
                </w:p>
              </w:tc>
              <w:tc>
                <w:tcPr>
                  <w:tcW w:w="565" w:type="pct"/>
                  <w:vAlign w:val="center"/>
                </w:tcPr>
                <w:p>
                  <w:pPr>
                    <w:pStyle w:val="27"/>
                    <w:jc w:val="center"/>
                    <w:rPr>
                      <w:szCs w:val="21"/>
                    </w:rPr>
                  </w:pPr>
                  <w:r>
                    <w:rPr>
                      <w:szCs w:val="21"/>
                    </w:rPr>
                    <w:t>75</w:t>
                  </w:r>
                </w:p>
              </w:tc>
              <w:tc>
                <w:tcPr>
                  <w:tcW w:w="652" w:type="pct"/>
                  <w:vAlign w:val="center"/>
                </w:tcPr>
                <w:p>
                  <w:pPr>
                    <w:pStyle w:val="27"/>
                    <w:jc w:val="center"/>
                    <w:rPr>
                      <w:szCs w:val="21"/>
                    </w:rPr>
                  </w:pPr>
                  <w:r>
                    <w:rPr>
                      <w:szCs w:val="21"/>
                    </w:rPr>
                    <w:t>1</w:t>
                  </w:r>
                </w:p>
              </w:tc>
              <w:tc>
                <w:tcPr>
                  <w:tcW w:w="766" w:type="pct"/>
                  <w:vAlign w:val="center"/>
                </w:tcPr>
                <w:p>
                  <w:pPr>
                    <w:pStyle w:val="27"/>
                    <w:jc w:val="center"/>
                    <w:rPr>
                      <w:szCs w:val="21"/>
                    </w:rPr>
                  </w:pPr>
                  <w:r>
                    <w:rPr>
                      <w:rFonts w:hint="eastAsia"/>
                      <w:szCs w:val="21"/>
                    </w:rPr>
                    <w:t>6</w:t>
                  </w:r>
                  <w:r>
                    <w:rPr>
                      <w:szCs w:val="21"/>
                    </w:rPr>
                    <w:t>0</w:t>
                  </w:r>
                </w:p>
              </w:tc>
              <w:tc>
                <w:tcPr>
                  <w:tcW w:w="1922" w:type="pct"/>
                  <w:vAlign w:val="center"/>
                </w:tcPr>
                <w:p>
                  <w:pPr>
                    <w:pStyle w:val="27"/>
                    <w:jc w:val="center"/>
                    <w:rPr>
                      <w:szCs w:val="21"/>
                    </w:rPr>
                  </w:pPr>
                  <w:r>
                    <w:rPr>
                      <w:rFonts w:hint="eastAsia"/>
                      <w:szCs w:val="21"/>
                    </w:rPr>
                    <w:t>基础减振、厂房隔声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3" w:type="pct"/>
                  <w:vAlign w:val="center"/>
                </w:tcPr>
                <w:p>
                  <w:pPr>
                    <w:pStyle w:val="27"/>
                    <w:jc w:val="center"/>
                    <w:rPr>
                      <w:szCs w:val="21"/>
                    </w:rPr>
                  </w:pPr>
                  <w:r>
                    <w:rPr>
                      <w:rFonts w:hint="eastAsia"/>
                      <w:szCs w:val="21"/>
                    </w:rPr>
                    <w:t>4</w:t>
                  </w:r>
                </w:p>
              </w:tc>
              <w:tc>
                <w:tcPr>
                  <w:tcW w:w="812" w:type="pct"/>
                  <w:vAlign w:val="center"/>
                </w:tcPr>
                <w:p>
                  <w:pPr>
                    <w:pStyle w:val="27"/>
                    <w:jc w:val="center"/>
                    <w:rPr>
                      <w:szCs w:val="21"/>
                    </w:rPr>
                  </w:pPr>
                  <w:r>
                    <w:rPr>
                      <w:rFonts w:hint="eastAsia"/>
                      <w:szCs w:val="21"/>
                    </w:rPr>
                    <w:t>筛分机</w:t>
                  </w:r>
                </w:p>
              </w:tc>
              <w:tc>
                <w:tcPr>
                  <w:tcW w:w="565" w:type="pct"/>
                  <w:vAlign w:val="center"/>
                </w:tcPr>
                <w:p>
                  <w:pPr>
                    <w:pStyle w:val="27"/>
                    <w:jc w:val="center"/>
                    <w:rPr>
                      <w:szCs w:val="21"/>
                    </w:rPr>
                  </w:pPr>
                  <w:r>
                    <w:rPr>
                      <w:rFonts w:hint="eastAsia"/>
                      <w:szCs w:val="21"/>
                    </w:rPr>
                    <w:t>8</w:t>
                  </w:r>
                  <w:r>
                    <w:rPr>
                      <w:szCs w:val="21"/>
                    </w:rPr>
                    <w:t>8</w:t>
                  </w:r>
                </w:p>
              </w:tc>
              <w:tc>
                <w:tcPr>
                  <w:tcW w:w="652" w:type="pct"/>
                  <w:vAlign w:val="center"/>
                </w:tcPr>
                <w:p>
                  <w:pPr>
                    <w:pStyle w:val="27"/>
                    <w:jc w:val="center"/>
                    <w:rPr>
                      <w:szCs w:val="21"/>
                    </w:rPr>
                  </w:pPr>
                  <w:r>
                    <w:rPr>
                      <w:szCs w:val="21"/>
                    </w:rPr>
                    <w:t>2</w:t>
                  </w:r>
                </w:p>
              </w:tc>
              <w:tc>
                <w:tcPr>
                  <w:tcW w:w="766" w:type="pct"/>
                  <w:vAlign w:val="center"/>
                </w:tcPr>
                <w:p>
                  <w:pPr>
                    <w:pStyle w:val="27"/>
                    <w:jc w:val="center"/>
                    <w:rPr>
                      <w:szCs w:val="21"/>
                    </w:rPr>
                  </w:pPr>
                  <w:r>
                    <w:rPr>
                      <w:szCs w:val="21"/>
                    </w:rPr>
                    <w:t>73</w:t>
                  </w:r>
                </w:p>
              </w:tc>
              <w:tc>
                <w:tcPr>
                  <w:tcW w:w="1922" w:type="pct"/>
                  <w:vAlign w:val="center"/>
                </w:tcPr>
                <w:p>
                  <w:pPr>
                    <w:pStyle w:val="27"/>
                    <w:jc w:val="center"/>
                    <w:rPr>
                      <w:szCs w:val="21"/>
                    </w:rPr>
                  </w:pPr>
                  <w:r>
                    <w:rPr>
                      <w:rFonts w:hint="eastAsia"/>
                      <w:szCs w:val="21"/>
                    </w:rPr>
                    <w:t>基础减振、厂房隔声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3" w:type="pct"/>
                  <w:vAlign w:val="center"/>
                </w:tcPr>
                <w:p>
                  <w:pPr>
                    <w:pStyle w:val="27"/>
                    <w:jc w:val="center"/>
                    <w:rPr>
                      <w:szCs w:val="21"/>
                    </w:rPr>
                  </w:pPr>
                  <w:r>
                    <w:rPr>
                      <w:rFonts w:hint="eastAsia"/>
                      <w:szCs w:val="21"/>
                    </w:rPr>
                    <w:t>5</w:t>
                  </w:r>
                </w:p>
              </w:tc>
              <w:tc>
                <w:tcPr>
                  <w:tcW w:w="812" w:type="pct"/>
                  <w:vAlign w:val="center"/>
                </w:tcPr>
                <w:p>
                  <w:pPr>
                    <w:pStyle w:val="27"/>
                    <w:jc w:val="center"/>
                    <w:rPr>
                      <w:szCs w:val="21"/>
                    </w:rPr>
                  </w:pPr>
                  <w:r>
                    <w:rPr>
                      <w:rFonts w:hint="eastAsia"/>
                      <w:szCs w:val="21"/>
                    </w:rPr>
                    <w:t>磨粉风机</w:t>
                  </w:r>
                </w:p>
              </w:tc>
              <w:tc>
                <w:tcPr>
                  <w:tcW w:w="565" w:type="pct"/>
                  <w:vAlign w:val="center"/>
                </w:tcPr>
                <w:p>
                  <w:pPr>
                    <w:pStyle w:val="27"/>
                    <w:jc w:val="center"/>
                    <w:rPr>
                      <w:szCs w:val="21"/>
                    </w:rPr>
                  </w:pPr>
                  <w:r>
                    <w:rPr>
                      <w:szCs w:val="21"/>
                    </w:rPr>
                    <w:t>80</w:t>
                  </w:r>
                </w:p>
              </w:tc>
              <w:tc>
                <w:tcPr>
                  <w:tcW w:w="652" w:type="pct"/>
                  <w:vAlign w:val="center"/>
                </w:tcPr>
                <w:p>
                  <w:pPr>
                    <w:pStyle w:val="27"/>
                    <w:jc w:val="center"/>
                    <w:rPr>
                      <w:szCs w:val="21"/>
                    </w:rPr>
                  </w:pPr>
                  <w:r>
                    <w:rPr>
                      <w:szCs w:val="21"/>
                    </w:rPr>
                    <w:t>4</w:t>
                  </w:r>
                </w:p>
              </w:tc>
              <w:tc>
                <w:tcPr>
                  <w:tcW w:w="766" w:type="pct"/>
                  <w:vAlign w:val="center"/>
                </w:tcPr>
                <w:p>
                  <w:pPr>
                    <w:pStyle w:val="27"/>
                    <w:jc w:val="center"/>
                    <w:rPr>
                      <w:szCs w:val="21"/>
                    </w:rPr>
                  </w:pPr>
                  <w:r>
                    <w:rPr>
                      <w:szCs w:val="21"/>
                    </w:rPr>
                    <w:t>65</w:t>
                  </w:r>
                </w:p>
              </w:tc>
              <w:tc>
                <w:tcPr>
                  <w:tcW w:w="1922" w:type="pct"/>
                  <w:vAlign w:val="center"/>
                </w:tcPr>
                <w:p>
                  <w:pPr>
                    <w:pStyle w:val="27"/>
                    <w:jc w:val="center"/>
                    <w:rPr>
                      <w:szCs w:val="21"/>
                    </w:rPr>
                  </w:pPr>
                  <w:r>
                    <w:rPr>
                      <w:rFonts w:hint="eastAsia"/>
                      <w:szCs w:val="21"/>
                    </w:rPr>
                    <w:t>基础减振、厂房隔声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3" w:type="pct"/>
                  <w:vAlign w:val="center"/>
                </w:tcPr>
                <w:p>
                  <w:pPr>
                    <w:pStyle w:val="27"/>
                    <w:jc w:val="center"/>
                    <w:rPr>
                      <w:szCs w:val="21"/>
                    </w:rPr>
                  </w:pPr>
                  <w:r>
                    <w:rPr>
                      <w:szCs w:val="21"/>
                    </w:rPr>
                    <w:t>6</w:t>
                  </w:r>
                </w:p>
              </w:tc>
              <w:tc>
                <w:tcPr>
                  <w:tcW w:w="812" w:type="pct"/>
                  <w:vAlign w:val="center"/>
                </w:tcPr>
                <w:p>
                  <w:pPr>
                    <w:pStyle w:val="27"/>
                    <w:jc w:val="center"/>
                    <w:rPr>
                      <w:szCs w:val="21"/>
                    </w:rPr>
                  </w:pPr>
                  <w:r>
                    <w:rPr>
                      <w:rFonts w:hint="eastAsia"/>
                      <w:szCs w:val="21"/>
                    </w:rPr>
                    <w:t>破碎筛分风机</w:t>
                  </w:r>
                </w:p>
              </w:tc>
              <w:tc>
                <w:tcPr>
                  <w:tcW w:w="565" w:type="pct"/>
                  <w:vAlign w:val="center"/>
                </w:tcPr>
                <w:p>
                  <w:pPr>
                    <w:pStyle w:val="27"/>
                    <w:jc w:val="center"/>
                    <w:rPr>
                      <w:szCs w:val="21"/>
                    </w:rPr>
                  </w:pPr>
                  <w:r>
                    <w:rPr>
                      <w:szCs w:val="21"/>
                    </w:rPr>
                    <w:t>83</w:t>
                  </w:r>
                </w:p>
              </w:tc>
              <w:tc>
                <w:tcPr>
                  <w:tcW w:w="652" w:type="pct"/>
                  <w:vAlign w:val="center"/>
                </w:tcPr>
                <w:p>
                  <w:pPr>
                    <w:pStyle w:val="27"/>
                    <w:jc w:val="center"/>
                    <w:rPr>
                      <w:szCs w:val="21"/>
                    </w:rPr>
                  </w:pPr>
                  <w:r>
                    <w:rPr>
                      <w:szCs w:val="21"/>
                    </w:rPr>
                    <w:t>1</w:t>
                  </w:r>
                </w:p>
              </w:tc>
              <w:tc>
                <w:tcPr>
                  <w:tcW w:w="766" w:type="pct"/>
                  <w:vAlign w:val="center"/>
                </w:tcPr>
                <w:p>
                  <w:pPr>
                    <w:pStyle w:val="27"/>
                    <w:jc w:val="center"/>
                    <w:rPr>
                      <w:szCs w:val="21"/>
                    </w:rPr>
                  </w:pPr>
                  <w:r>
                    <w:rPr>
                      <w:szCs w:val="21"/>
                    </w:rPr>
                    <w:t>68</w:t>
                  </w:r>
                </w:p>
              </w:tc>
              <w:tc>
                <w:tcPr>
                  <w:tcW w:w="1922" w:type="pct"/>
                  <w:vAlign w:val="center"/>
                </w:tcPr>
                <w:p>
                  <w:pPr>
                    <w:pStyle w:val="27"/>
                    <w:jc w:val="center"/>
                    <w:rPr>
                      <w:szCs w:val="21"/>
                    </w:rPr>
                  </w:pPr>
                  <w:r>
                    <w:rPr>
                      <w:rFonts w:hint="eastAsia"/>
                      <w:szCs w:val="21"/>
                    </w:rPr>
                    <w:t>基础减振、厂房隔声</w:t>
                  </w:r>
                </w:p>
              </w:tc>
            </w:tr>
            <w:bookmarkEnd w:id="5"/>
          </w:tbl>
          <w:p>
            <w:pPr>
              <w:pStyle w:val="61"/>
              <w:spacing w:line="360" w:lineRule="auto"/>
              <w:ind w:firstLine="440" w:firstLineChars="200"/>
              <w:rPr>
                <w:kern w:val="0"/>
                <w:sz w:val="22"/>
                <w:szCs w:val="20"/>
              </w:rPr>
            </w:pPr>
            <w:r>
              <w:rPr>
                <w:rFonts w:hint="eastAsia"/>
                <w:kern w:val="0"/>
                <w:sz w:val="22"/>
                <w:szCs w:val="20"/>
              </w:rPr>
              <w:t>参考《环境影响评价技术导则   声环境》（H2.4-20</w:t>
            </w:r>
            <w:r>
              <w:rPr>
                <w:kern w:val="0"/>
                <w:sz w:val="22"/>
                <w:szCs w:val="20"/>
              </w:rPr>
              <w:t>21</w:t>
            </w:r>
            <w:r>
              <w:rPr>
                <w:rFonts w:hint="eastAsia"/>
                <w:kern w:val="0"/>
                <w:sz w:val="22"/>
                <w:szCs w:val="20"/>
              </w:rPr>
              <w:t>）中推荐的预测模式，本项目各设备产生的噪声对厂界四周声环境产生的贡献值见表4</w:t>
            </w:r>
            <w:r>
              <w:rPr>
                <w:kern w:val="0"/>
                <w:sz w:val="22"/>
                <w:szCs w:val="20"/>
              </w:rPr>
              <w:t>-</w:t>
            </w:r>
            <w:r>
              <w:rPr>
                <w:rFonts w:hint="eastAsia"/>
                <w:kern w:val="0"/>
                <w:sz w:val="22"/>
                <w:szCs w:val="20"/>
              </w:rPr>
              <w:t>9。</w:t>
            </w:r>
          </w:p>
          <w:p>
            <w:pPr>
              <w:pStyle w:val="28"/>
              <w:rPr>
                <w:szCs w:val="21"/>
              </w:rPr>
            </w:pPr>
          </w:p>
          <w:p>
            <w:pPr>
              <w:pStyle w:val="28"/>
              <w:rPr>
                <w:szCs w:val="21"/>
              </w:rPr>
            </w:pPr>
          </w:p>
          <w:p>
            <w:pPr>
              <w:pStyle w:val="28"/>
              <w:rPr>
                <w:rFonts w:hint="eastAsia"/>
                <w:szCs w:val="21"/>
              </w:rPr>
            </w:pPr>
          </w:p>
          <w:p>
            <w:pPr>
              <w:pStyle w:val="28"/>
              <w:rPr>
                <w:szCs w:val="21"/>
              </w:rPr>
            </w:pPr>
            <w:r>
              <w:rPr>
                <w:rFonts w:hint="eastAsia"/>
                <w:szCs w:val="21"/>
              </w:rPr>
              <w:t>表4-</w:t>
            </w:r>
            <w:r>
              <w:rPr>
                <w:rFonts w:hint="eastAsia"/>
                <w:szCs w:val="21"/>
                <w:lang w:val="en-US"/>
              </w:rPr>
              <w:t xml:space="preserve">9 </w:t>
            </w:r>
            <w:r>
              <w:rPr>
                <w:rFonts w:hint="eastAsia"/>
                <w:szCs w:val="21"/>
              </w:rPr>
              <w:t xml:space="preserve"> 昼间主要噪声源位置及贡献值一览表       单位：dB（A）</w:t>
            </w:r>
          </w:p>
          <w:tbl>
            <w:tblPr>
              <w:tblStyle w:val="20"/>
              <w:tblW w:w="4996"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50"/>
              <w:gridCol w:w="728"/>
              <w:gridCol w:w="545"/>
              <w:gridCol w:w="822"/>
              <w:gridCol w:w="534"/>
              <w:gridCol w:w="825"/>
              <w:gridCol w:w="505"/>
              <w:gridCol w:w="804"/>
              <w:gridCol w:w="516"/>
              <w:gridCol w:w="909"/>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6" w:type="pct"/>
                  <w:vMerge w:val="restart"/>
                  <w:vAlign w:val="center"/>
                </w:tcPr>
                <w:p>
                  <w:pPr>
                    <w:pStyle w:val="27"/>
                    <w:jc w:val="center"/>
                    <w:rPr>
                      <w:sz w:val="20"/>
                      <w:szCs w:val="20"/>
                    </w:rPr>
                  </w:pPr>
                  <w:r>
                    <w:rPr>
                      <w:sz w:val="20"/>
                      <w:szCs w:val="20"/>
                    </w:rPr>
                    <w:t>噪声源</w:t>
                  </w:r>
                </w:p>
              </w:tc>
              <w:tc>
                <w:tcPr>
                  <w:tcW w:w="483" w:type="pct"/>
                  <w:vMerge w:val="restart"/>
                  <w:vAlign w:val="center"/>
                </w:tcPr>
                <w:p>
                  <w:pPr>
                    <w:pStyle w:val="27"/>
                    <w:jc w:val="center"/>
                    <w:rPr>
                      <w:sz w:val="20"/>
                      <w:szCs w:val="20"/>
                    </w:rPr>
                  </w:pPr>
                  <w:r>
                    <w:rPr>
                      <w:sz w:val="20"/>
                      <w:szCs w:val="20"/>
                    </w:rPr>
                    <w:t>治理后声级dB(A)</w:t>
                  </w:r>
                </w:p>
              </w:tc>
              <w:tc>
                <w:tcPr>
                  <w:tcW w:w="907" w:type="pct"/>
                  <w:gridSpan w:val="2"/>
                  <w:vAlign w:val="center"/>
                </w:tcPr>
                <w:p>
                  <w:pPr>
                    <w:pStyle w:val="27"/>
                    <w:jc w:val="center"/>
                    <w:rPr>
                      <w:sz w:val="20"/>
                      <w:szCs w:val="20"/>
                    </w:rPr>
                  </w:pPr>
                  <w:r>
                    <w:rPr>
                      <w:sz w:val="20"/>
                      <w:szCs w:val="20"/>
                    </w:rPr>
                    <w:t>东厂界</w:t>
                  </w:r>
                </w:p>
              </w:tc>
              <w:tc>
                <w:tcPr>
                  <w:tcW w:w="901" w:type="pct"/>
                  <w:gridSpan w:val="2"/>
                  <w:vAlign w:val="center"/>
                </w:tcPr>
                <w:p>
                  <w:pPr>
                    <w:pStyle w:val="27"/>
                    <w:jc w:val="center"/>
                    <w:rPr>
                      <w:sz w:val="20"/>
                      <w:szCs w:val="20"/>
                    </w:rPr>
                  </w:pPr>
                  <w:r>
                    <w:rPr>
                      <w:sz w:val="20"/>
                      <w:szCs w:val="20"/>
                    </w:rPr>
                    <w:t>南厂界</w:t>
                  </w:r>
                </w:p>
              </w:tc>
              <w:tc>
                <w:tcPr>
                  <w:tcW w:w="868" w:type="pct"/>
                  <w:gridSpan w:val="2"/>
                  <w:vAlign w:val="center"/>
                </w:tcPr>
                <w:p>
                  <w:pPr>
                    <w:pStyle w:val="27"/>
                    <w:jc w:val="center"/>
                    <w:rPr>
                      <w:sz w:val="20"/>
                      <w:szCs w:val="20"/>
                    </w:rPr>
                  </w:pPr>
                  <w:r>
                    <w:rPr>
                      <w:sz w:val="20"/>
                      <w:szCs w:val="20"/>
                    </w:rPr>
                    <w:t>西厂界</w:t>
                  </w:r>
                </w:p>
              </w:tc>
              <w:tc>
                <w:tcPr>
                  <w:tcW w:w="945" w:type="pct"/>
                  <w:gridSpan w:val="2"/>
                  <w:vAlign w:val="center"/>
                </w:tcPr>
                <w:p>
                  <w:pPr>
                    <w:pStyle w:val="27"/>
                    <w:jc w:val="center"/>
                    <w:rPr>
                      <w:sz w:val="20"/>
                      <w:szCs w:val="20"/>
                    </w:rPr>
                  </w:pPr>
                  <w:r>
                    <w:rPr>
                      <w:sz w:val="20"/>
                      <w:szCs w:val="20"/>
                    </w:rPr>
                    <w:t>北厂界</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6" w:type="pct"/>
                  <w:vMerge w:val="continue"/>
                  <w:vAlign w:val="center"/>
                </w:tcPr>
                <w:p>
                  <w:pPr>
                    <w:pStyle w:val="27"/>
                    <w:jc w:val="center"/>
                    <w:rPr>
                      <w:sz w:val="20"/>
                      <w:szCs w:val="20"/>
                    </w:rPr>
                  </w:pPr>
                </w:p>
              </w:tc>
              <w:tc>
                <w:tcPr>
                  <w:tcW w:w="483" w:type="pct"/>
                  <w:vMerge w:val="continue"/>
                  <w:vAlign w:val="center"/>
                </w:tcPr>
                <w:p>
                  <w:pPr>
                    <w:pStyle w:val="27"/>
                    <w:jc w:val="center"/>
                    <w:rPr>
                      <w:sz w:val="20"/>
                      <w:szCs w:val="20"/>
                    </w:rPr>
                  </w:pPr>
                </w:p>
              </w:tc>
              <w:tc>
                <w:tcPr>
                  <w:tcW w:w="362" w:type="pct"/>
                  <w:vAlign w:val="center"/>
                </w:tcPr>
                <w:p>
                  <w:pPr>
                    <w:pStyle w:val="27"/>
                    <w:jc w:val="center"/>
                    <w:rPr>
                      <w:sz w:val="20"/>
                      <w:szCs w:val="20"/>
                    </w:rPr>
                  </w:pPr>
                  <w:r>
                    <w:rPr>
                      <w:sz w:val="20"/>
                      <w:szCs w:val="20"/>
                    </w:rPr>
                    <w:t>距离(m)</w:t>
                  </w:r>
                </w:p>
              </w:tc>
              <w:tc>
                <w:tcPr>
                  <w:tcW w:w="545" w:type="pct"/>
                  <w:vAlign w:val="center"/>
                </w:tcPr>
                <w:p>
                  <w:pPr>
                    <w:pStyle w:val="27"/>
                    <w:jc w:val="center"/>
                    <w:rPr>
                      <w:sz w:val="20"/>
                      <w:szCs w:val="20"/>
                    </w:rPr>
                  </w:pPr>
                  <w:r>
                    <w:rPr>
                      <w:sz w:val="20"/>
                      <w:szCs w:val="20"/>
                    </w:rPr>
                    <w:t>贡献值dB(A)</w:t>
                  </w:r>
                </w:p>
              </w:tc>
              <w:tc>
                <w:tcPr>
                  <w:tcW w:w="354" w:type="pct"/>
                  <w:vAlign w:val="center"/>
                </w:tcPr>
                <w:p>
                  <w:pPr>
                    <w:pStyle w:val="27"/>
                    <w:jc w:val="center"/>
                    <w:rPr>
                      <w:sz w:val="20"/>
                      <w:szCs w:val="20"/>
                    </w:rPr>
                  </w:pPr>
                  <w:r>
                    <w:rPr>
                      <w:sz w:val="20"/>
                      <w:szCs w:val="20"/>
                    </w:rPr>
                    <w:t>距离(m)</w:t>
                  </w:r>
                </w:p>
              </w:tc>
              <w:tc>
                <w:tcPr>
                  <w:tcW w:w="547" w:type="pct"/>
                  <w:vAlign w:val="center"/>
                </w:tcPr>
                <w:p>
                  <w:pPr>
                    <w:pStyle w:val="27"/>
                    <w:jc w:val="center"/>
                    <w:rPr>
                      <w:sz w:val="20"/>
                      <w:szCs w:val="20"/>
                    </w:rPr>
                  </w:pPr>
                  <w:r>
                    <w:rPr>
                      <w:sz w:val="20"/>
                      <w:szCs w:val="20"/>
                    </w:rPr>
                    <w:t>贡献值dB(A)</w:t>
                  </w:r>
                </w:p>
              </w:tc>
              <w:tc>
                <w:tcPr>
                  <w:tcW w:w="335" w:type="pct"/>
                  <w:vAlign w:val="center"/>
                </w:tcPr>
                <w:p>
                  <w:pPr>
                    <w:pStyle w:val="27"/>
                    <w:jc w:val="center"/>
                    <w:rPr>
                      <w:sz w:val="20"/>
                      <w:szCs w:val="20"/>
                    </w:rPr>
                  </w:pPr>
                  <w:r>
                    <w:rPr>
                      <w:sz w:val="20"/>
                      <w:szCs w:val="20"/>
                    </w:rPr>
                    <w:t>距离(m)</w:t>
                  </w:r>
                </w:p>
              </w:tc>
              <w:tc>
                <w:tcPr>
                  <w:tcW w:w="533" w:type="pct"/>
                  <w:vAlign w:val="center"/>
                </w:tcPr>
                <w:p>
                  <w:pPr>
                    <w:pStyle w:val="27"/>
                    <w:jc w:val="center"/>
                    <w:rPr>
                      <w:sz w:val="20"/>
                      <w:szCs w:val="20"/>
                    </w:rPr>
                  </w:pPr>
                  <w:r>
                    <w:rPr>
                      <w:sz w:val="20"/>
                      <w:szCs w:val="20"/>
                    </w:rPr>
                    <w:t>贡献值dB(A)</w:t>
                  </w:r>
                </w:p>
              </w:tc>
              <w:tc>
                <w:tcPr>
                  <w:tcW w:w="342" w:type="pct"/>
                  <w:vAlign w:val="center"/>
                </w:tcPr>
                <w:p>
                  <w:pPr>
                    <w:pStyle w:val="27"/>
                    <w:jc w:val="center"/>
                    <w:rPr>
                      <w:sz w:val="20"/>
                      <w:szCs w:val="20"/>
                    </w:rPr>
                  </w:pPr>
                  <w:r>
                    <w:rPr>
                      <w:sz w:val="20"/>
                      <w:szCs w:val="20"/>
                    </w:rPr>
                    <w:t>距离(m)</w:t>
                  </w:r>
                </w:p>
              </w:tc>
              <w:tc>
                <w:tcPr>
                  <w:tcW w:w="602" w:type="pct"/>
                  <w:vAlign w:val="center"/>
                </w:tcPr>
                <w:p>
                  <w:pPr>
                    <w:pStyle w:val="27"/>
                    <w:jc w:val="center"/>
                    <w:rPr>
                      <w:sz w:val="20"/>
                      <w:szCs w:val="20"/>
                    </w:rPr>
                  </w:pPr>
                  <w:r>
                    <w:rPr>
                      <w:sz w:val="20"/>
                      <w:szCs w:val="20"/>
                    </w:rPr>
                    <w:t>贡献值dB(A)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6" w:type="pct"/>
                  <w:vAlign w:val="center"/>
                </w:tcPr>
                <w:p>
                  <w:pPr>
                    <w:autoSpaceDE w:val="0"/>
                    <w:autoSpaceDN w:val="0"/>
                    <w:adjustRightInd w:val="0"/>
                    <w:spacing w:line="240" w:lineRule="auto"/>
                    <w:jc w:val="center"/>
                    <w:rPr>
                      <w:sz w:val="20"/>
                      <w:szCs w:val="20"/>
                    </w:rPr>
                  </w:pPr>
                  <w:r>
                    <w:rPr>
                      <w:rFonts w:hint="eastAsia"/>
                      <w:sz w:val="20"/>
                      <w:szCs w:val="20"/>
                    </w:rPr>
                    <w:t>1</w:t>
                  </w:r>
                  <w:r>
                    <w:rPr>
                      <w:sz w:val="20"/>
                      <w:szCs w:val="20"/>
                    </w:rPr>
                    <w:t>#</w:t>
                  </w:r>
                  <w:r>
                    <w:rPr>
                      <w:rFonts w:hint="eastAsia"/>
                      <w:sz w:val="20"/>
                      <w:szCs w:val="20"/>
                    </w:rPr>
                    <w:t>破碎机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73</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55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38</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50</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39</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25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150</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29</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sz w:val="20"/>
                      <w:szCs w:val="20"/>
                    </w:rPr>
                  </w:pPr>
                  <w:r>
                    <w:rPr>
                      <w:sz w:val="20"/>
                      <w:szCs w:val="20"/>
                    </w:rPr>
                    <w:t>2#</w:t>
                  </w:r>
                  <w:r>
                    <w:rPr>
                      <w:rFonts w:hint="eastAsia"/>
                      <w:sz w:val="20"/>
                      <w:szCs w:val="20"/>
                    </w:rPr>
                    <w:t>破碎机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73</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40</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50</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39</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42</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150</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29</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sz w:val="20"/>
                      <w:szCs w:val="20"/>
                    </w:rPr>
                  </w:pPr>
                  <w:r>
                    <w:rPr>
                      <w:sz w:val="20"/>
                      <w:szCs w:val="20"/>
                    </w:rPr>
                    <w:t>1#</w:t>
                  </w:r>
                  <w:r>
                    <w:rPr>
                      <w:rFonts w:hint="eastAsia"/>
                      <w:sz w:val="20"/>
                      <w:szCs w:val="20"/>
                    </w:rPr>
                    <w:t>研磨机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69</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55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34</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36</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25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41</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155</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21</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sz w:val="20"/>
                      <w:szCs w:val="20"/>
                    </w:rPr>
                  </w:pPr>
                  <w:r>
                    <w:rPr>
                      <w:sz w:val="20"/>
                      <w:szCs w:val="20"/>
                    </w:rPr>
                    <w:t>2#</w:t>
                  </w:r>
                  <w:r>
                    <w:rPr>
                      <w:rFonts w:hint="eastAsia"/>
                      <w:sz w:val="20"/>
                      <w:szCs w:val="20"/>
                    </w:rPr>
                    <w:t>研磨机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69</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36</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36</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38</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155</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21</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sz w:val="20"/>
                      <w:szCs w:val="20"/>
                    </w:rPr>
                  </w:pPr>
                  <w:r>
                    <w:rPr>
                      <w:sz w:val="20"/>
                      <w:szCs w:val="20"/>
                    </w:rPr>
                    <w:t>3#</w:t>
                  </w:r>
                  <w:r>
                    <w:rPr>
                      <w:rFonts w:hint="eastAsia"/>
                      <w:sz w:val="20"/>
                      <w:szCs w:val="20"/>
                    </w:rPr>
                    <w:t>研磨机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69</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38</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36</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36</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155</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21</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cs="Times New Roman"/>
                      <w:sz w:val="20"/>
                      <w:szCs w:val="20"/>
                    </w:rPr>
                    <w:t>4#</w:t>
                  </w:r>
                  <w:r>
                    <w:rPr>
                      <w:rFonts w:hint="eastAsia" w:cs="Times New Roman"/>
                      <w:sz w:val="20"/>
                      <w:szCs w:val="20"/>
                    </w:rPr>
                    <w:t>研磨机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69</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25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41</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36</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55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34</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155</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21</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hint="eastAsia" w:cs="Times New Roman"/>
                      <w:sz w:val="20"/>
                      <w:szCs w:val="20"/>
                    </w:rPr>
                    <w:t>活化粉机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60</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40</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28</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50</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26</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40</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28</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150</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16</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hint="eastAsia" w:cs="Times New Roman"/>
                      <w:sz w:val="20"/>
                      <w:szCs w:val="20"/>
                    </w:rPr>
                    <w:t>1</w:t>
                  </w:r>
                  <w:r>
                    <w:rPr>
                      <w:rFonts w:cs="Times New Roman"/>
                      <w:sz w:val="20"/>
                      <w:szCs w:val="20"/>
                    </w:rPr>
                    <w:t>#</w:t>
                  </w:r>
                  <w:r>
                    <w:rPr>
                      <w:rFonts w:hint="eastAsia" w:cs="Times New Roman"/>
                      <w:sz w:val="20"/>
                      <w:szCs w:val="20"/>
                    </w:rPr>
                    <w:t>筛分机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7</w:t>
                  </w:r>
                  <w:r>
                    <w:rPr>
                      <w:sz w:val="20"/>
                      <w:szCs w:val="20"/>
                    </w:rPr>
                    <w:t>3</w:t>
                  </w:r>
                </w:p>
              </w:tc>
              <w:tc>
                <w:tcPr>
                  <w:tcW w:w="362" w:type="pct"/>
                  <w:vAlign w:val="center"/>
                </w:tcPr>
                <w:p>
                  <w:pPr>
                    <w:autoSpaceDE w:val="0"/>
                    <w:autoSpaceDN w:val="0"/>
                    <w:adjustRightInd w:val="0"/>
                    <w:spacing w:line="240" w:lineRule="auto"/>
                    <w:jc w:val="center"/>
                    <w:rPr>
                      <w:sz w:val="20"/>
                      <w:szCs w:val="20"/>
                    </w:rPr>
                  </w:pPr>
                  <w:r>
                    <w:rPr>
                      <w:sz w:val="20"/>
                      <w:szCs w:val="20"/>
                    </w:rPr>
                    <w:t>35</w:t>
                  </w:r>
                </w:p>
              </w:tc>
              <w:tc>
                <w:tcPr>
                  <w:tcW w:w="545" w:type="pct"/>
                  <w:vAlign w:val="center"/>
                </w:tcPr>
                <w:p>
                  <w:pPr>
                    <w:autoSpaceDE w:val="0"/>
                    <w:autoSpaceDN w:val="0"/>
                    <w:adjustRightInd w:val="0"/>
                    <w:spacing w:line="240" w:lineRule="auto"/>
                    <w:jc w:val="center"/>
                    <w:rPr>
                      <w:sz w:val="20"/>
                      <w:szCs w:val="20"/>
                    </w:rPr>
                  </w:pPr>
                  <w:r>
                    <w:rPr>
                      <w:sz w:val="20"/>
                      <w:szCs w:val="20"/>
                    </w:rPr>
                    <w:t>42</w:t>
                  </w:r>
                </w:p>
              </w:tc>
              <w:tc>
                <w:tcPr>
                  <w:tcW w:w="354" w:type="pct"/>
                  <w:vAlign w:val="center"/>
                </w:tcPr>
                <w:p>
                  <w:pPr>
                    <w:autoSpaceDE w:val="0"/>
                    <w:autoSpaceDN w:val="0"/>
                    <w:adjustRightInd w:val="0"/>
                    <w:spacing w:line="240" w:lineRule="auto"/>
                    <w:jc w:val="center"/>
                    <w:rPr>
                      <w:sz w:val="20"/>
                      <w:szCs w:val="20"/>
                    </w:rPr>
                  </w:pPr>
                  <w:r>
                    <w:rPr>
                      <w:sz w:val="20"/>
                      <w:szCs w:val="20"/>
                    </w:rPr>
                    <w:t>50</w:t>
                  </w:r>
                </w:p>
              </w:tc>
              <w:tc>
                <w:tcPr>
                  <w:tcW w:w="547" w:type="pct"/>
                  <w:vAlign w:val="center"/>
                </w:tcPr>
                <w:p>
                  <w:pPr>
                    <w:autoSpaceDE w:val="0"/>
                    <w:autoSpaceDN w:val="0"/>
                    <w:adjustRightInd w:val="0"/>
                    <w:spacing w:line="240" w:lineRule="auto"/>
                    <w:jc w:val="center"/>
                    <w:rPr>
                      <w:sz w:val="20"/>
                      <w:szCs w:val="20"/>
                    </w:rPr>
                  </w:pPr>
                  <w:r>
                    <w:rPr>
                      <w:sz w:val="20"/>
                      <w:szCs w:val="20"/>
                    </w:rPr>
                    <w:t>39</w:t>
                  </w:r>
                </w:p>
              </w:tc>
              <w:tc>
                <w:tcPr>
                  <w:tcW w:w="335" w:type="pct"/>
                  <w:vAlign w:val="center"/>
                </w:tcPr>
                <w:p>
                  <w:pPr>
                    <w:autoSpaceDE w:val="0"/>
                    <w:autoSpaceDN w:val="0"/>
                    <w:adjustRightInd w:val="0"/>
                    <w:spacing w:line="240" w:lineRule="auto"/>
                    <w:jc w:val="center"/>
                    <w:rPr>
                      <w:sz w:val="20"/>
                      <w:szCs w:val="20"/>
                    </w:rPr>
                  </w:pPr>
                  <w:r>
                    <w:rPr>
                      <w:sz w:val="20"/>
                      <w:szCs w:val="20"/>
                    </w:rPr>
                    <w:t>45</w:t>
                  </w:r>
                </w:p>
              </w:tc>
              <w:tc>
                <w:tcPr>
                  <w:tcW w:w="533" w:type="pct"/>
                  <w:vAlign w:val="center"/>
                </w:tcPr>
                <w:p>
                  <w:pPr>
                    <w:autoSpaceDE w:val="0"/>
                    <w:autoSpaceDN w:val="0"/>
                    <w:adjustRightInd w:val="0"/>
                    <w:spacing w:line="240" w:lineRule="auto"/>
                    <w:jc w:val="center"/>
                    <w:rPr>
                      <w:sz w:val="20"/>
                      <w:szCs w:val="20"/>
                    </w:rPr>
                  </w:pPr>
                  <w:r>
                    <w:rPr>
                      <w:sz w:val="20"/>
                      <w:szCs w:val="20"/>
                    </w:rPr>
                    <w:t>40</w:t>
                  </w:r>
                </w:p>
              </w:tc>
              <w:tc>
                <w:tcPr>
                  <w:tcW w:w="342" w:type="pct"/>
                  <w:vAlign w:val="center"/>
                </w:tcPr>
                <w:p>
                  <w:pPr>
                    <w:autoSpaceDE w:val="0"/>
                    <w:autoSpaceDN w:val="0"/>
                    <w:adjustRightInd w:val="0"/>
                    <w:spacing w:line="240" w:lineRule="auto"/>
                    <w:jc w:val="center"/>
                    <w:rPr>
                      <w:sz w:val="20"/>
                      <w:szCs w:val="20"/>
                    </w:rPr>
                  </w:pPr>
                  <w:r>
                    <w:rPr>
                      <w:sz w:val="20"/>
                      <w:szCs w:val="20"/>
                    </w:rPr>
                    <w:t>150</w:t>
                  </w:r>
                </w:p>
              </w:tc>
              <w:tc>
                <w:tcPr>
                  <w:tcW w:w="602" w:type="pct"/>
                  <w:vAlign w:val="center"/>
                </w:tcPr>
                <w:p>
                  <w:pPr>
                    <w:autoSpaceDE w:val="0"/>
                    <w:autoSpaceDN w:val="0"/>
                    <w:adjustRightInd w:val="0"/>
                    <w:spacing w:line="240" w:lineRule="auto"/>
                    <w:jc w:val="center"/>
                    <w:rPr>
                      <w:sz w:val="20"/>
                      <w:szCs w:val="20"/>
                    </w:rPr>
                  </w:pPr>
                  <w:r>
                    <w:rPr>
                      <w:sz w:val="20"/>
                      <w:szCs w:val="20"/>
                    </w:rPr>
                    <w:t>29</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cs="Times New Roman"/>
                      <w:sz w:val="20"/>
                      <w:szCs w:val="20"/>
                    </w:rPr>
                    <w:t>2#</w:t>
                  </w:r>
                  <w:r>
                    <w:rPr>
                      <w:rFonts w:hint="eastAsia" w:cs="Times New Roman"/>
                      <w:sz w:val="20"/>
                      <w:szCs w:val="20"/>
                    </w:rPr>
                    <w:t>筛分机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7</w:t>
                  </w:r>
                  <w:r>
                    <w:rPr>
                      <w:sz w:val="20"/>
                      <w:szCs w:val="20"/>
                    </w:rPr>
                    <w:t>3</w:t>
                  </w:r>
                </w:p>
              </w:tc>
              <w:tc>
                <w:tcPr>
                  <w:tcW w:w="362" w:type="pct"/>
                  <w:vAlign w:val="center"/>
                </w:tcPr>
                <w:p>
                  <w:pPr>
                    <w:autoSpaceDE w:val="0"/>
                    <w:autoSpaceDN w:val="0"/>
                    <w:adjustRightInd w:val="0"/>
                    <w:spacing w:line="240" w:lineRule="auto"/>
                    <w:jc w:val="center"/>
                    <w:rPr>
                      <w:sz w:val="20"/>
                      <w:szCs w:val="20"/>
                    </w:rPr>
                  </w:pPr>
                  <w:r>
                    <w:rPr>
                      <w:sz w:val="20"/>
                      <w:szCs w:val="20"/>
                    </w:rPr>
                    <w:t>25</w:t>
                  </w:r>
                </w:p>
              </w:tc>
              <w:tc>
                <w:tcPr>
                  <w:tcW w:w="545" w:type="pct"/>
                  <w:vAlign w:val="center"/>
                </w:tcPr>
                <w:p>
                  <w:pPr>
                    <w:autoSpaceDE w:val="0"/>
                    <w:autoSpaceDN w:val="0"/>
                    <w:adjustRightInd w:val="0"/>
                    <w:spacing w:line="240" w:lineRule="auto"/>
                    <w:jc w:val="center"/>
                    <w:rPr>
                      <w:sz w:val="20"/>
                      <w:szCs w:val="20"/>
                    </w:rPr>
                  </w:pPr>
                  <w:r>
                    <w:rPr>
                      <w:sz w:val="20"/>
                      <w:szCs w:val="20"/>
                    </w:rPr>
                    <w:t>45</w:t>
                  </w:r>
                </w:p>
              </w:tc>
              <w:tc>
                <w:tcPr>
                  <w:tcW w:w="354" w:type="pct"/>
                  <w:vAlign w:val="center"/>
                </w:tcPr>
                <w:p>
                  <w:pPr>
                    <w:autoSpaceDE w:val="0"/>
                    <w:autoSpaceDN w:val="0"/>
                    <w:adjustRightInd w:val="0"/>
                    <w:spacing w:line="240" w:lineRule="auto"/>
                    <w:jc w:val="center"/>
                    <w:rPr>
                      <w:sz w:val="20"/>
                      <w:szCs w:val="20"/>
                    </w:rPr>
                  </w:pPr>
                  <w:r>
                    <w:rPr>
                      <w:sz w:val="20"/>
                      <w:szCs w:val="20"/>
                    </w:rPr>
                    <w:t>50</w:t>
                  </w:r>
                </w:p>
              </w:tc>
              <w:tc>
                <w:tcPr>
                  <w:tcW w:w="547" w:type="pct"/>
                  <w:vAlign w:val="center"/>
                </w:tcPr>
                <w:p>
                  <w:pPr>
                    <w:autoSpaceDE w:val="0"/>
                    <w:autoSpaceDN w:val="0"/>
                    <w:adjustRightInd w:val="0"/>
                    <w:spacing w:line="240" w:lineRule="auto"/>
                    <w:jc w:val="center"/>
                    <w:rPr>
                      <w:sz w:val="20"/>
                      <w:szCs w:val="20"/>
                    </w:rPr>
                  </w:pPr>
                  <w:r>
                    <w:rPr>
                      <w:sz w:val="20"/>
                      <w:szCs w:val="20"/>
                    </w:rPr>
                    <w:t>39</w:t>
                  </w:r>
                </w:p>
              </w:tc>
              <w:tc>
                <w:tcPr>
                  <w:tcW w:w="335" w:type="pct"/>
                  <w:vAlign w:val="center"/>
                </w:tcPr>
                <w:p>
                  <w:pPr>
                    <w:autoSpaceDE w:val="0"/>
                    <w:autoSpaceDN w:val="0"/>
                    <w:adjustRightInd w:val="0"/>
                    <w:spacing w:line="240" w:lineRule="auto"/>
                    <w:jc w:val="center"/>
                    <w:rPr>
                      <w:sz w:val="20"/>
                      <w:szCs w:val="20"/>
                    </w:rPr>
                  </w:pPr>
                  <w:r>
                    <w:rPr>
                      <w:sz w:val="20"/>
                      <w:szCs w:val="20"/>
                    </w:rPr>
                    <w:t>55</w:t>
                  </w:r>
                </w:p>
              </w:tc>
              <w:tc>
                <w:tcPr>
                  <w:tcW w:w="533" w:type="pct"/>
                  <w:vAlign w:val="center"/>
                </w:tcPr>
                <w:p>
                  <w:pPr>
                    <w:autoSpaceDE w:val="0"/>
                    <w:autoSpaceDN w:val="0"/>
                    <w:adjustRightInd w:val="0"/>
                    <w:spacing w:line="240" w:lineRule="auto"/>
                    <w:jc w:val="center"/>
                    <w:rPr>
                      <w:sz w:val="20"/>
                      <w:szCs w:val="20"/>
                    </w:rPr>
                  </w:pPr>
                  <w:r>
                    <w:rPr>
                      <w:sz w:val="20"/>
                      <w:szCs w:val="20"/>
                    </w:rPr>
                    <w:t>38</w:t>
                  </w:r>
                </w:p>
              </w:tc>
              <w:tc>
                <w:tcPr>
                  <w:tcW w:w="342" w:type="pct"/>
                  <w:vAlign w:val="center"/>
                </w:tcPr>
                <w:p>
                  <w:pPr>
                    <w:autoSpaceDE w:val="0"/>
                    <w:autoSpaceDN w:val="0"/>
                    <w:adjustRightInd w:val="0"/>
                    <w:spacing w:line="240" w:lineRule="auto"/>
                    <w:jc w:val="center"/>
                    <w:rPr>
                      <w:sz w:val="20"/>
                      <w:szCs w:val="20"/>
                    </w:rPr>
                  </w:pPr>
                  <w:r>
                    <w:rPr>
                      <w:sz w:val="20"/>
                      <w:szCs w:val="20"/>
                    </w:rPr>
                    <w:t>150</w:t>
                  </w:r>
                </w:p>
              </w:tc>
              <w:tc>
                <w:tcPr>
                  <w:tcW w:w="602" w:type="pct"/>
                  <w:vAlign w:val="center"/>
                </w:tcPr>
                <w:p>
                  <w:pPr>
                    <w:autoSpaceDE w:val="0"/>
                    <w:autoSpaceDN w:val="0"/>
                    <w:adjustRightInd w:val="0"/>
                    <w:spacing w:line="240" w:lineRule="auto"/>
                    <w:jc w:val="center"/>
                    <w:rPr>
                      <w:sz w:val="20"/>
                      <w:szCs w:val="20"/>
                    </w:rPr>
                  </w:pPr>
                  <w:r>
                    <w:rPr>
                      <w:sz w:val="20"/>
                      <w:szCs w:val="20"/>
                    </w:rPr>
                    <w:t>29</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hint="eastAsia" w:cs="Times New Roman"/>
                      <w:sz w:val="20"/>
                      <w:szCs w:val="20"/>
                    </w:rPr>
                    <w:t>1</w:t>
                  </w:r>
                  <w:r>
                    <w:rPr>
                      <w:rFonts w:cs="Times New Roman"/>
                      <w:sz w:val="20"/>
                      <w:szCs w:val="20"/>
                    </w:rPr>
                    <w:t>#</w:t>
                  </w:r>
                  <w:r>
                    <w:rPr>
                      <w:rFonts w:hint="eastAsia" w:cs="Times New Roman"/>
                      <w:sz w:val="20"/>
                      <w:szCs w:val="20"/>
                    </w:rPr>
                    <w:t>磨粉风机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65</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55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30</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30</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25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37</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170</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hint="eastAsia" w:cs="Times New Roman"/>
                      <w:sz w:val="20"/>
                      <w:szCs w:val="20"/>
                    </w:rPr>
                    <w:t>2</w:t>
                  </w:r>
                  <w:r>
                    <w:rPr>
                      <w:rFonts w:cs="Times New Roman"/>
                      <w:sz w:val="20"/>
                      <w:szCs w:val="20"/>
                    </w:rPr>
                    <w:t>#</w:t>
                  </w:r>
                  <w:r>
                    <w:rPr>
                      <w:rFonts w:hint="eastAsia" w:cs="Times New Roman"/>
                      <w:sz w:val="20"/>
                      <w:szCs w:val="20"/>
                    </w:rPr>
                    <w:t>磨粉风机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65</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32</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30</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34</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170</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hint="eastAsia" w:cs="Times New Roman"/>
                      <w:sz w:val="20"/>
                      <w:szCs w:val="20"/>
                    </w:rPr>
                    <w:t>3</w:t>
                  </w:r>
                  <w:r>
                    <w:rPr>
                      <w:rFonts w:cs="Times New Roman"/>
                      <w:sz w:val="20"/>
                      <w:szCs w:val="20"/>
                    </w:rPr>
                    <w:t>#</w:t>
                  </w:r>
                  <w:r>
                    <w:rPr>
                      <w:rFonts w:hint="eastAsia" w:cs="Times New Roman"/>
                      <w:sz w:val="20"/>
                      <w:szCs w:val="20"/>
                    </w:rPr>
                    <w:t>磨粉风机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65</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34</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30</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45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32</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170</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hint="eastAsia" w:cs="Times New Roman"/>
                      <w:sz w:val="20"/>
                      <w:szCs w:val="20"/>
                    </w:rPr>
                    <w:t>4</w:t>
                  </w:r>
                  <w:r>
                    <w:rPr>
                      <w:rFonts w:cs="Times New Roman"/>
                      <w:sz w:val="20"/>
                      <w:szCs w:val="20"/>
                    </w:rPr>
                    <w:t>#</w:t>
                  </w:r>
                  <w:r>
                    <w:rPr>
                      <w:rFonts w:hint="eastAsia" w:cs="Times New Roman"/>
                      <w:sz w:val="20"/>
                      <w:szCs w:val="20"/>
                    </w:rPr>
                    <w:t>磨粉风机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65</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25</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37</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30</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35</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55</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30</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170</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6" w:hRule="atLeast"/>
                <w:jc w:val="center"/>
              </w:trPr>
              <w:tc>
                <w:tcPr>
                  <w:tcW w:w="896" w:type="pct"/>
                  <w:vAlign w:val="center"/>
                </w:tcPr>
                <w:p>
                  <w:pPr>
                    <w:autoSpaceDE w:val="0"/>
                    <w:autoSpaceDN w:val="0"/>
                    <w:adjustRightInd w:val="0"/>
                    <w:spacing w:line="240" w:lineRule="auto"/>
                    <w:jc w:val="center"/>
                    <w:rPr>
                      <w:rFonts w:cs="Times New Roman"/>
                      <w:sz w:val="20"/>
                      <w:szCs w:val="20"/>
                    </w:rPr>
                  </w:pPr>
                  <w:r>
                    <w:rPr>
                      <w:rFonts w:hint="eastAsia" w:cs="Times New Roman"/>
                      <w:sz w:val="20"/>
                      <w:szCs w:val="20"/>
                    </w:rPr>
                    <w:t>5</w:t>
                  </w:r>
                  <w:r>
                    <w:rPr>
                      <w:rFonts w:cs="Times New Roman"/>
                      <w:sz w:val="20"/>
                      <w:szCs w:val="20"/>
                    </w:rPr>
                    <w:t>#</w:t>
                  </w:r>
                  <w:r>
                    <w:rPr>
                      <w:rFonts w:hint="eastAsia" w:cs="Times New Roman"/>
                      <w:sz w:val="20"/>
                      <w:szCs w:val="20"/>
                    </w:rPr>
                    <w:t>破碎筛分风机</w:t>
                  </w:r>
                </w:p>
              </w:tc>
              <w:tc>
                <w:tcPr>
                  <w:tcW w:w="483" w:type="pct"/>
                  <w:vAlign w:val="center"/>
                </w:tcPr>
                <w:p>
                  <w:pPr>
                    <w:autoSpaceDE w:val="0"/>
                    <w:autoSpaceDN w:val="0"/>
                    <w:adjustRightInd w:val="0"/>
                    <w:spacing w:line="240" w:lineRule="auto"/>
                    <w:jc w:val="center"/>
                    <w:rPr>
                      <w:sz w:val="20"/>
                      <w:szCs w:val="20"/>
                    </w:rPr>
                  </w:pPr>
                  <w:r>
                    <w:rPr>
                      <w:rFonts w:hint="eastAsia"/>
                      <w:sz w:val="20"/>
                      <w:szCs w:val="20"/>
                    </w:rPr>
                    <w:t>6</w:t>
                  </w:r>
                  <w:r>
                    <w:rPr>
                      <w:sz w:val="20"/>
                      <w:szCs w:val="20"/>
                    </w:rPr>
                    <w:t>8</w:t>
                  </w:r>
                </w:p>
              </w:tc>
              <w:tc>
                <w:tcPr>
                  <w:tcW w:w="362" w:type="pct"/>
                  <w:vAlign w:val="center"/>
                </w:tcPr>
                <w:p>
                  <w:pPr>
                    <w:autoSpaceDE w:val="0"/>
                    <w:autoSpaceDN w:val="0"/>
                    <w:adjustRightInd w:val="0"/>
                    <w:spacing w:line="240" w:lineRule="auto"/>
                    <w:jc w:val="center"/>
                    <w:rPr>
                      <w:sz w:val="20"/>
                      <w:szCs w:val="20"/>
                    </w:rPr>
                  </w:pPr>
                  <w:r>
                    <w:rPr>
                      <w:rFonts w:hint="eastAsia"/>
                      <w:sz w:val="20"/>
                      <w:szCs w:val="20"/>
                    </w:rPr>
                    <w:t>3</w:t>
                  </w:r>
                  <w:r>
                    <w:rPr>
                      <w:sz w:val="20"/>
                      <w:szCs w:val="20"/>
                    </w:rPr>
                    <w:t>4</w:t>
                  </w:r>
                </w:p>
              </w:tc>
              <w:tc>
                <w:tcPr>
                  <w:tcW w:w="545" w:type="pct"/>
                  <w:vAlign w:val="center"/>
                </w:tcPr>
                <w:p>
                  <w:pPr>
                    <w:autoSpaceDE w:val="0"/>
                    <w:autoSpaceDN w:val="0"/>
                    <w:adjustRightInd w:val="0"/>
                    <w:spacing w:line="240" w:lineRule="auto"/>
                    <w:jc w:val="center"/>
                    <w:rPr>
                      <w:sz w:val="20"/>
                      <w:szCs w:val="20"/>
                    </w:rPr>
                  </w:pPr>
                  <w:r>
                    <w:rPr>
                      <w:rFonts w:hint="eastAsia"/>
                      <w:sz w:val="20"/>
                      <w:szCs w:val="20"/>
                    </w:rPr>
                    <w:t>3</w:t>
                  </w:r>
                  <w:r>
                    <w:rPr>
                      <w:sz w:val="20"/>
                      <w:szCs w:val="20"/>
                    </w:rPr>
                    <w:t>7</w:t>
                  </w:r>
                </w:p>
              </w:tc>
              <w:tc>
                <w:tcPr>
                  <w:tcW w:w="354" w:type="pct"/>
                  <w:vAlign w:val="center"/>
                </w:tcPr>
                <w:p>
                  <w:pPr>
                    <w:autoSpaceDE w:val="0"/>
                    <w:autoSpaceDN w:val="0"/>
                    <w:adjustRightInd w:val="0"/>
                    <w:spacing w:line="240" w:lineRule="auto"/>
                    <w:jc w:val="center"/>
                    <w:rPr>
                      <w:sz w:val="20"/>
                      <w:szCs w:val="20"/>
                    </w:rPr>
                  </w:pPr>
                  <w:r>
                    <w:rPr>
                      <w:rFonts w:hint="eastAsia"/>
                      <w:sz w:val="20"/>
                      <w:szCs w:val="20"/>
                    </w:rPr>
                    <w:t>3</w:t>
                  </w:r>
                  <w:r>
                    <w:rPr>
                      <w:sz w:val="20"/>
                      <w:szCs w:val="20"/>
                    </w:rPr>
                    <w:t>5</w:t>
                  </w:r>
                </w:p>
              </w:tc>
              <w:tc>
                <w:tcPr>
                  <w:tcW w:w="547" w:type="pct"/>
                  <w:vAlign w:val="center"/>
                </w:tcPr>
                <w:p>
                  <w:pPr>
                    <w:autoSpaceDE w:val="0"/>
                    <w:autoSpaceDN w:val="0"/>
                    <w:adjustRightInd w:val="0"/>
                    <w:spacing w:line="240" w:lineRule="auto"/>
                    <w:jc w:val="center"/>
                    <w:rPr>
                      <w:sz w:val="20"/>
                      <w:szCs w:val="20"/>
                    </w:rPr>
                  </w:pPr>
                  <w:r>
                    <w:rPr>
                      <w:rFonts w:hint="eastAsia"/>
                      <w:sz w:val="20"/>
                      <w:szCs w:val="20"/>
                    </w:rPr>
                    <w:t>3</w:t>
                  </w:r>
                  <w:r>
                    <w:rPr>
                      <w:sz w:val="20"/>
                      <w:szCs w:val="20"/>
                    </w:rPr>
                    <w:t>7</w:t>
                  </w:r>
                </w:p>
              </w:tc>
              <w:tc>
                <w:tcPr>
                  <w:tcW w:w="335" w:type="pct"/>
                  <w:vAlign w:val="center"/>
                </w:tcPr>
                <w:p>
                  <w:pPr>
                    <w:autoSpaceDE w:val="0"/>
                    <w:autoSpaceDN w:val="0"/>
                    <w:adjustRightInd w:val="0"/>
                    <w:spacing w:line="240" w:lineRule="auto"/>
                    <w:jc w:val="center"/>
                    <w:rPr>
                      <w:sz w:val="20"/>
                      <w:szCs w:val="20"/>
                    </w:rPr>
                  </w:pPr>
                  <w:r>
                    <w:rPr>
                      <w:rFonts w:hint="eastAsia"/>
                      <w:sz w:val="20"/>
                      <w:szCs w:val="20"/>
                    </w:rPr>
                    <w:t>4</w:t>
                  </w:r>
                  <w:r>
                    <w:rPr>
                      <w:sz w:val="20"/>
                      <w:szCs w:val="20"/>
                    </w:rPr>
                    <w:t>4</w:t>
                  </w:r>
                </w:p>
              </w:tc>
              <w:tc>
                <w:tcPr>
                  <w:tcW w:w="533" w:type="pct"/>
                  <w:vAlign w:val="center"/>
                </w:tcPr>
                <w:p>
                  <w:pPr>
                    <w:autoSpaceDE w:val="0"/>
                    <w:autoSpaceDN w:val="0"/>
                    <w:adjustRightInd w:val="0"/>
                    <w:spacing w:line="240" w:lineRule="auto"/>
                    <w:jc w:val="center"/>
                    <w:rPr>
                      <w:sz w:val="20"/>
                      <w:szCs w:val="20"/>
                    </w:rPr>
                  </w:pPr>
                  <w:r>
                    <w:rPr>
                      <w:rFonts w:hint="eastAsia"/>
                      <w:sz w:val="20"/>
                      <w:szCs w:val="20"/>
                    </w:rPr>
                    <w:t>3</w:t>
                  </w:r>
                  <w:r>
                    <w:rPr>
                      <w:sz w:val="20"/>
                      <w:szCs w:val="20"/>
                    </w:rPr>
                    <w:t>5</w:t>
                  </w:r>
                </w:p>
              </w:tc>
              <w:tc>
                <w:tcPr>
                  <w:tcW w:w="342" w:type="pct"/>
                  <w:vAlign w:val="center"/>
                </w:tcPr>
                <w:p>
                  <w:pPr>
                    <w:autoSpaceDE w:val="0"/>
                    <w:autoSpaceDN w:val="0"/>
                    <w:adjustRightInd w:val="0"/>
                    <w:spacing w:line="240" w:lineRule="auto"/>
                    <w:jc w:val="center"/>
                    <w:rPr>
                      <w:sz w:val="20"/>
                      <w:szCs w:val="20"/>
                    </w:rPr>
                  </w:pPr>
                  <w:r>
                    <w:rPr>
                      <w:rFonts w:hint="eastAsia"/>
                      <w:sz w:val="20"/>
                      <w:szCs w:val="20"/>
                    </w:rPr>
                    <w:t>1</w:t>
                  </w:r>
                  <w:r>
                    <w:rPr>
                      <w:sz w:val="20"/>
                      <w:szCs w:val="20"/>
                    </w:rPr>
                    <w:t>65</w:t>
                  </w:r>
                </w:p>
              </w:tc>
              <w:tc>
                <w:tcPr>
                  <w:tcW w:w="602" w:type="pct"/>
                  <w:vAlign w:val="center"/>
                </w:tcPr>
                <w:p>
                  <w:pPr>
                    <w:autoSpaceDE w:val="0"/>
                    <w:autoSpaceDN w:val="0"/>
                    <w:adjustRightInd w:val="0"/>
                    <w:spacing w:line="240" w:lineRule="auto"/>
                    <w:jc w:val="center"/>
                    <w:rPr>
                      <w:sz w:val="20"/>
                      <w:szCs w:val="20"/>
                    </w:rPr>
                  </w:pPr>
                  <w:r>
                    <w:rPr>
                      <w:rFonts w:hint="eastAsia"/>
                      <w:sz w:val="20"/>
                      <w:szCs w:val="20"/>
                    </w:rPr>
                    <w:t>2</w:t>
                  </w:r>
                  <w:r>
                    <w:rPr>
                      <w:sz w:val="20"/>
                      <w:szCs w:val="20"/>
                    </w:rPr>
                    <w:t>2</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6" w:type="pct"/>
                  <w:vAlign w:val="center"/>
                </w:tcPr>
                <w:p>
                  <w:pPr>
                    <w:pStyle w:val="27"/>
                    <w:jc w:val="center"/>
                    <w:rPr>
                      <w:sz w:val="20"/>
                      <w:szCs w:val="20"/>
                    </w:rPr>
                  </w:pPr>
                  <w:r>
                    <w:rPr>
                      <w:sz w:val="20"/>
                      <w:szCs w:val="20"/>
                    </w:rPr>
                    <w:t>合成贡献值</w:t>
                  </w:r>
                </w:p>
              </w:tc>
              <w:tc>
                <w:tcPr>
                  <w:tcW w:w="483" w:type="pct"/>
                  <w:vAlign w:val="center"/>
                </w:tcPr>
                <w:p>
                  <w:pPr>
                    <w:pStyle w:val="27"/>
                    <w:jc w:val="center"/>
                    <w:rPr>
                      <w:sz w:val="20"/>
                      <w:szCs w:val="20"/>
                    </w:rPr>
                  </w:pPr>
                  <w:r>
                    <w:rPr>
                      <w:sz w:val="20"/>
                      <w:szCs w:val="20"/>
                    </w:rPr>
                    <w:t>/</w:t>
                  </w:r>
                </w:p>
              </w:tc>
              <w:tc>
                <w:tcPr>
                  <w:tcW w:w="362" w:type="pct"/>
                  <w:vAlign w:val="center"/>
                </w:tcPr>
                <w:p>
                  <w:pPr>
                    <w:pStyle w:val="27"/>
                    <w:jc w:val="center"/>
                    <w:rPr>
                      <w:sz w:val="20"/>
                      <w:szCs w:val="20"/>
                    </w:rPr>
                  </w:pPr>
                  <w:r>
                    <w:rPr>
                      <w:rFonts w:hint="eastAsia"/>
                      <w:sz w:val="20"/>
                      <w:szCs w:val="20"/>
                    </w:rPr>
                    <w:t>东</w:t>
                  </w:r>
                </w:p>
              </w:tc>
              <w:tc>
                <w:tcPr>
                  <w:tcW w:w="545" w:type="pct"/>
                  <w:vAlign w:val="center"/>
                </w:tcPr>
                <w:p>
                  <w:pPr>
                    <w:pStyle w:val="27"/>
                    <w:jc w:val="center"/>
                    <w:rPr>
                      <w:sz w:val="20"/>
                      <w:szCs w:val="20"/>
                    </w:rPr>
                  </w:pPr>
                  <w:r>
                    <w:rPr>
                      <w:rFonts w:hint="eastAsia"/>
                      <w:sz w:val="20"/>
                      <w:szCs w:val="20"/>
                    </w:rPr>
                    <w:t>5</w:t>
                  </w:r>
                  <w:r>
                    <w:rPr>
                      <w:sz w:val="20"/>
                      <w:szCs w:val="20"/>
                    </w:rPr>
                    <w:t>1</w:t>
                  </w:r>
                </w:p>
              </w:tc>
              <w:tc>
                <w:tcPr>
                  <w:tcW w:w="354" w:type="pct"/>
                  <w:vAlign w:val="center"/>
                </w:tcPr>
                <w:p>
                  <w:pPr>
                    <w:pStyle w:val="27"/>
                    <w:jc w:val="center"/>
                    <w:rPr>
                      <w:sz w:val="20"/>
                      <w:szCs w:val="20"/>
                    </w:rPr>
                  </w:pPr>
                  <w:r>
                    <w:rPr>
                      <w:rFonts w:hint="eastAsia"/>
                      <w:sz w:val="20"/>
                      <w:szCs w:val="20"/>
                    </w:rPr>
                    <w:t>南</w:t>
                  </w:r>
                </w:p>
              </w:tc>
              <w:tc>
                <w:tcPr>
                  <w:tcW w:w="547" w:type="pct"/>
                  <w:vAlign w:val="center"/>
                </w:tcPr>
                <w:p>
                  <w:pPr>
                    <w:pStyle w:val="27"/>
                    <w:jc w:val="center"/>
                    <w:rPr>
                      <w:sz w:val="20"/>
                      <w:szCs w:val="20"/>
                    </w:rPr>
                  </w:pPr>
                  <w:r>
                    <w:rPr>
                      <w:rFonts w:hint="eastAsia"/>
                      <w:sz w:val="20"/>
                      <w:szCs w:val="20"/>
                    </w:rPr>
                    <w:t>4</w:t>
                  </w:r>
                  <w:r>
                    <w:rPr>
                      <w:sz w:val="20"/>
                      <w:szCs w:val="20"/>
                    </w:rPr>
                    <w:t>9</w:t>
                  </w:r>
                </w:p>
              </w:tc>
              <w:tc>
                <w:tcPr>
                  <w:tcW w:w="335" w:type="pct"/>
                  <w:vAlign w:val="center"/>
                </w:tcPr>
                <w:p>
                  <w:pPr>
                    <w:pStyle w:val="27"/>
                    <w:jc w:val="center"/>
                    <w:rPr>
                      <w:sz w:val="20"/>
                      <w:szCs w:val="20"/>
                    </w:rPr>
                  </w:pPr>
                  <w:r>
                    <w:rPr>
                      <w:rFonts w:hint="eastAsia"/>
                      <w:sz w:val="20"/>
                      <w:szCs w:val="20"/>
                    </w:rPr>
                    <w:t>西</w:t>
                  </w:r>
                </w:p>
              </w:tc>
              <w:tc>
                <w:tcPr>
                  <w:tcW w:w="533" w:type="pct"/>
                  <w:vAlign w:val="center"/>
                </w:tcPr>
                <w:p>
                  <w:pPr>
                    <w:pStyle w:val="27"/>
                    <w:jc w:val="center"/>
                    <w:rPr>
                      <w:sz w:val="20"/>
                      <w:szCs w:val="20"/>
                    </w:rPr>
                  </w:pPr>
                  <w:r>
                    <w:rPr>
                      <w:rFonts w:hint="eastAsia"/>
                      <w:sz w:val="20"/>
                      <w:szCs w:val="20"/>
                    </w:rPr>
                    <w:t>50</w:t>
                  </w:r>
                </w:p>
              </w:tc>
              <w:tc>
                <w:tcPr>
                  <w:tcW w:w="342" w:type="pct"/>
                  <w:vAlign w:val="center"/>
                </w:tcPr>
                <w:p>
                  <w:pPr>
                    <w:pStyle w:val="27"/>
                    <w:jc w:val="center"/>
                    <w:rPr>
                      <w:sz w:val="20"/>
                      <w:szCs w:val="20"/>
                    </w:rPr>
                  </w:pPr>
                  <w:r>
                    <w:rPr>
                      <w:rFonts w:hint="eastAsia"/>
                      <w:sz w:val="20"/>
                      <w:szCs w:val="20"/>
                    </w:rPr>
                    <w:t>北</w:t>
                  </w:r>
                </w:p>
              </w:tc>
              <w:tc>
                <w:tcPr>
                  <w:tcW w:w="602" w:type="pct"/>
                  <w:vAlign w:val="center"/>
                </w:tcPr>
                <w:p>
                  <w:pPr>
                    <w:pStyle w:val="27"/>
                    <w:jc w:val="center"/>
                    <w:rPr>
                      <w:sz w:val="20"/>
                      <w:szCs w:val="20"/>
                    </w:rPr>
                  </w:pPr>
                  <w:r>
                    <w:rPr>
                      <w:rFonts w:hint="eastAsia"/>
                      <w:sz w:val="20"/>
                      <w:szCs w:val="20"/>
                    </w:rPr>
                    <w:t>36</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6" w:type="pct"/>
                  <w:vAlign w:val="center"/>
                </w:tcPr>
                <w:p>
                  <w:pPr>
                    <w:pStyle w:val="27"/>
                    <w:jc w:val="center"/>
                    <w:rPr>
                      <w:sz w:val="20"/>
                      <w:szCs w:val="20"/>
                    </w:rPr>
                  </w:pPr>
                  <w:r>
                    <w:rPr>
                      <w:sz w:val="20"/>
                      <w:szCs w:val="20"/>
                    </w:rPr>
                    <w:t>背景值</w:t>
                  </w:r>
                </w:p>
              </w:tc>
              <w:tc>
                <w:tcPr>
                  <w:tcW w:w="483" w:type="pct"/>
                  <w:vAlign w:val="center"/>
                </w:tcPr>
                <w:p>
                  <w:pPr>
                    <w:pStyle w:val="27"/>
                    <w:jc w:val="center"/>
                    <w:rPr>
                      <w:sz w:val="20"/>
                      <w:szCs w:val="20"/>
                    </w:rPr>
                  </w:pPr>
                  <w:r>
                    <w:rPr>
                      <w:sz w:val="20"/>
                      <w:szCs w:val="20"/>
                    </w:rPr>
                    <w:t>昼</w:t>
                  </w:r>
                  <w:r>
                    <w:rPr>
                      <w:rFonts w:hint="eastAsia"/>
                      <w:sz w:val="20"/>
                      <w:szCs w:val="20"/>
                    </w:rPr>
                    <w:t>间</w:t>
                  </w:r>
                </w:p>
              </w:tc>
              <w:tc>
                <w:tcPr>
                  <w:tcW w:w="907" w:type="pct"/>
                  <w:gridSpan w:val="2"/>
                  <w:vAlign w:val="center"/>
                </w:tcPr>
                <w:p>
                  <w:pPr>
                    <w:pStyle w:val="27"/>
                    <w:jc w:val="center"/>
                    <w:rPr>
                      <w:sz w:val="20"/>
                      <w:szCs w:val="20"/>
                    </w:rPr>
                  </w:pPr>
                  <w:r>
                    <w:rPr>
                      <w:sz w:val="20"/>
                      <w:szCs w:val="20"/>
                    </w:rPr>
                    <w:t>/</w:t>
                  </w:r>
                </w:p>
              </w:tc>
              <w:tc>
                <w:tcPr>
                  <w:tcW w:w="901" w:type="pct"/>
                  <w:gridSpan w:val="2"/>
                  <w:vAlign w:val="center"/>
                </w:tcPr>
                <w:p>
                  <w:pPr>
                    <w:pStyle w:val="27"/>
                    <w:jc w:val="center"/>
                    <w:rPr>
                      <w:sz w:val="20"/>
                      <w:szCs w:val="20"/>
                    </w:rPr>
                  </w:pPr>
                  <w:r>
                    <w:rPr>
                      <w:sz w:val="20"/>
                      <w:szCs w:val="20"/>
                    </w:rPr>
                    <w:t>/</w:t>
                  </w:r>
                </w:p>
              </w:tc>
              <w:tc>
                <w:tcPr>
                  <w:tcW w:w="868" w:type="pct"/>
                  <w:gridSpan w:val="2"/>
                  <w:vAlign w:val="center"/>
                </w:tcPr>
                <w:p>
                  <w:pPr>
                    <w:pStyle w:val="27"/>
                    <w:jc w:val="center"/>
                    <w:rPr>
                      <w:sz w:val="20"/>
                      <w:szCs w:val="20"/>
                    </w:rPr>
                  </w:pPr>
                  <w:r>
                    <w:rPr>
                      <w:sz w:val="20"/>
                      <w:szCs w:val="20"/>
                    </w:rPr>
                    <w:t>/</w:t>
                  </w:r>
                </w:p>
              </w:tc>
              <w:tc>
                <w:tcPr>
                  <w:tcW w:w="945" w:type="pct"/>
                  <w:gridSpan w:val="2"/>
                  <w:vAlign w:val="center"/>
                </w:tcPr>
                <w:p>
                  <w:pPr>
                    <w:pStyle w:val="27"/>
                    <w:jc w:val="center"/>
                    <w:rPr>
                      <w:sz w:val="20"/>
                      <w:szCs w:val="20"/>
                    </w:rPr>
                  </w:pPr>
                  <w:r>
                    <w:rPr>
                      <w:sz w:val="20"/>
                      <w:szCs w:val="20"/>
                    </w:rPr>
                    <w:t>/</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6" w:type="pct"/>
                  <w:vAlign w:val="center"/>
                </w:tcPr>
                <w:p>
                  <w:pPr>
                    <w:pStyle w:val="27"/>
                    <w:jc w:val="center"/>
                    <w:rPr>
                      <w:sz w:val="20"/>
                      <w:szCs w:val="20"/>
                    </w:rPr>
                  </w:pPr>
                  <w:r>
                    <w:rPr>
                      <w:sz w:val="20"/>
                      <w:szCs w:val="20"/>
                    </w:rPr>
                    <w:t>预测值</w:t>
                  </w:r>
                </w:p>
              </w:tc>
              <w:tc>
                <w:tcPr>
                  <w:tcW w:w="483" w:type="pct"/>
                  <w:vAlign w:val="center"/>
                </w:tcPr>
                <w:p>
                  <w:pPr>
                    <w:pStyle w:val="27"/>
                    <w:jc w:val="center"/>
                    <w:rPr>
                      <w:sz w:val="20"/>
                      <w:szCs w:val="20"/>
                    </w:rPr>
                  </w:pPr>
                  <w:r>
                    <w:rPr>
                      <w:sz w:val="20"/>
                      <w:szCs w:val="20"/>
                    </w:rPr>
                    <w:t>昼</w:t>
                  </w:r>
                  <w:r>
                    <w:rPr>
                      <w:rFonts w:hint="eastAsia"/>
                      <w:sz w:val="20"/>
                      <w:szCs w:val="20"/>
                    </w:rPr>
                    <w:t>间</w:t>
                  </w:r>
                </w:p>
              </w:tc>
              <w:tc>
                <w:tcPr>
                  <w:tcW w:w="907" w:type="pct"/>
                  <w:gridSpan w:val="2"/>
                  <w:vAlign w:val="center"/>
                </w:tcPr>
                <w:p>
                  <w:pPr>
                    <w:pStyle w:val="27"/>
                    <w:jc w:val="center"/>
                    <w:rPr>
                      <w:sz w:val="20"/>
                      <w:szCs w:val="20"/>
                    </w:rPr>
                  </w:pPr>
                  <w:r>
                    <w:rPr>
                      <w:sz w:val="20"/>
                      <w:szCs w:val="20"/>
                    </w:rPr>
                    <w:t>/</w:t>
                  </w:r>
                </w:p>
              </w:tc>
              <w:tc>
                <w:tcPr>
                  <w:tcW w:w="901" w:type="pct"/>
                  <w:gridSpan w:val="2"/>
                  <w:vAlign w:val="center"/>
                </w:tcPr>
                <w:p>
                  <w:pPr>
                    <w:pStyle w:val="27"/>
                    <w:jc w:val="center"/>
                    <w:rPr>
                      <w:sz w:val="20"/>
                      <w:szCs w:val="20"/>
                    </w:rPr>
                  </w:pPr>
                  <w:r>
                    <w:rPr>
                      <w:sz w:val="20"/>
                      <w:szCs w:val="20"/>
                    </w:rPr>
                    <w:t>/</w:t>
                  </w:r>
                </w:p>
              </w:tc>
              <w:tc>
                <w:tcPr>
                  <w:tcW w:w="868" w:type="pct"/>
                  <w:gridSpan w:val="2"/>
                  <w:vAlign w:val="center"/>
                </w:tcPr>
                <w:p>
                  <w:pPr>
                    <w:pStyle w:val="27"/>
                    <w:jc w:val="center"/>
                    <w:rPr>
                      <w:sz w:val="20"/>
                      <w:szCs w:val="20"/>
                    </w:rPr>
                  </w:pPr>
                  <w:r>
                    <w:rPr>
                      <w:sz w:val="20"/>
                      <w:szCs w:val="20"/>
                    </w:rPr>
                    <w:t>/</w:t>
                  </w:r>
                </w:p>
              </w:tc>
              <w:tc>
                <w:tcPr>
                  <w:tcW w:w="945" w:type="pct"/>
                  <w:gridSpan w:val="2"/>
                  <w:vAlign w:val="center"/>
                </w:tcPr>
                <w:p>
                  <w:pPr>
                    <w:pStyle w:val="27"/>
                    <w:jc w:val="center"/>
                    <w:rPr>
                      <w:sz w:val="20"/>
                      <w:szCs w:val="20"/>
                    </w:rPr>
                  </w:pPr>
                  <w:r>
                    <w:rPr>
                      <w:sz w:val="20"/>
                      <w:szCs w:val="20"/>
                    </w:rPr>
                    <w:t>/</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6" w:type="pct"/>
                  <w:vAlign w:val="center"/>
                </w:tcPr>
                <w:p>
                  <w:pPr>
                    <w:pStyle w:val="27"/>
                    <w:jc w:val="center"/>
                    <w:rPr>
                      <w:sz w:val="20"/>
                      <w:szCs w:val="20"/>
                    </w:rPr>
                  </w:pPr>
                  <w:r>
                    <w:rPr>
                      <w:sz w:val="20"/>
                      <w:szCs w:val="20"/>
                    </w:rPr>
                    <w:t>标准值</w:t>
                  </w:r>
                </w:p>
              </w:tc>
              <w:tc>
                <w:tcPr>
                  <w:tcW w:w="483" w:type="pct"/>
                  <w:vAlign w:val="center"/>
                </w:tcPr>
                <w:p>
                  <w:pPr>
                    <w:pStyle w:val="27"/>
                    <w:jc w:val="center"/>
                    <w:rPr>
                      <w:sz w:val="20"/>
                      <w:szCs w:val="20"/>
                    </w:rPr>
                  </w:pPr>
                  <w:r>
                    <w:rPr>
                      <w:rFonts w:hint="eastAsia"/>
                      <w:sz w:val="20"/>
                      <w:szCs w:val="20"/>
                    </w:rPr>
                    <w:t>昼间</w:t>
                  </w:r>
                </w:p>
              </w:tc>
              <w:tc>
                <w:tcPr>
                  <w:tcW w:w="907" w:type="pct"/>
                  <w:gridSpan w:val="2"/>
                  <w:vAlign w:val="center"/>
                </w:tcPr>
                <w:p>
                  <w:pPr>
                    <w:pStyle w:val="27"/>
                    <w:jc w:val="center"/>
                    <w:rPr>
                      <w:sz w:val="20"/>
                      <w:szCs w:val="20"/>
                    </w:rPr>
                  </w:pPr>
                  <w:r>
                    <w:rPr>
                      <w:rFonts w:hint="eastAsia"/>
                      <w:sz w:val="20"/>
                      <w:szCs w:val="20"/>
                    </w:rPr>
                    <w:t>6</w:t>
                  </w:r>
                  <w:r>
                    <w:rPr>
                      <w:sz w:val="20"/>
                      <w:szCs w:val="20"/>
                    </w:rPr>
                    <w:t>0</w:t>
                  </w:r>
                </w:p>
              </w:tc>
              <w:tc>
                <w:tcPr>
                  <w:tcW w:w="901" w:type="pct"/>
                  <w:gridSpan w:val="2"/>
                  <w:vAlign w:val="center"/>
                </w:tcPr>
                <w:p>
                  <w:pPr>
                    <w:pStyle w:val="27"/>
                    <w:jc w:val="center"/>
                    <w:rPr>
                      <w:sz w:val="20"/>
                      <w:szCs w:val="20"/>
                    </w:rPr>
                  </w:pPr>
                  <w:r>
                    <w:rPr>
                      <w:rFonts w:hint="eastAsia"/>
                      <w:sz w:val="20"/>
                      <w:szCs w:val="20"/>
                    </w:rPr>
                    <w:t>6</w:t>
                  </w:r>
                  <w:r>
                    <w:rPr>
                      <w:sz w:val="20"/>
                      <w:szCs w:val="20"/>
                    </w:rPr>
                    <w:t>0</w:t>
                  </w:r>
                </w:p>
              </w:tc>
              <w:tc>
                <w:tcPr>
                  <w:tcW w:w="868" w:type="pct"/>
                  <w:gridSpan w:val="2"/>
                  <w:vAlign w:val="center"/>
                </w:tcPr>
                <w:p>
                  <w:pPr>
                    <w:pStyle w:val="27"/>
                    <w:jc w:val="center"/>
                    <w:rPr>
                      <w:sz w:val="20"/>
                      <w:szCs w:val="20"/>
                    </w:rPr>
                  </w:pPr>
                  <w:r>
                    <w:rPr>
                      <w:rFonts w:hint="eastAsia"/>
                      <w:sz w:val="20"/>
                      <w:szCs w:val="20"/>
                    </w:rPr>
                    <w:t>6</w:t>
                  </w:r>
                  <w:r>
                    <w:rPr>
                      <w:sz w:val="20"/>
                      <w:szCs w:val="20"/>
                    </w:rPr>
                    <w:t>0</w:t>
                  </w:r>
                </w:p>
              </w:tc>
              <w:tc>
                <w:tcPr>
                  <w:tcW w:w="945" w:type="pct"/>
                  <w:gridSpan w:val="2"/>
                  <w:vAlign w:val="center"/>
                </w:tcPr>
                <w:p>
                  <w:pPr>
                    <w:pStyle w:val="27"/>
                    <w:jc w:val="center"/>
                    <w:rPr>
                      <w:sz w:val="20"/>
                      <w:szCs w:val="20"/>
                    </w:rPr>
                  </w:pPr>
                  <w:r>
                    <w:rPr>
                      <w:rFonts w:hint="eastAsia"/>
                      <w:sz w:val="20"/>
                      <w:szCs w:val="20"/>
                    </w:rPr>
                    <w:t>6</w:t>
                  </w:r>
                  <w:r>
                    <w:rPr>
                      <w:sz w:val="20"/>
                      <w:szCs w:val="20"/>
                    </w:rPr>
                    <w:t>0</w:t>
                  </w:r>
                </w:p>
              </w:tc>
            </w:tr>
          </w:tbl>
          <w:p>
            <w:pPr>
              <w:rPr>
                <w:rFonts w:eastAsia="宋体" w:cs="Times New Roman"/>
                <w:kern w:val="0"/>
                <w:szCs w:val="20"/>
              </w:rPr>
            </w:pPr>
            <w:r>
              <w:rPr>
                <w:rFonts w:hint="eastAsia" w:eastAsia="宋体" w:cs="Times New Roman"/>
                <w:kern w:val="0"/>
                <w:szCs w:val="20"/>
              </w:rPr>
              <w:t>注：本项目夜间不生产。</w:t>
            </w:r>
          </w:p>
          <w:p>
            <w:pPr>
              <w:ind w:firstLine="480" w:firstLineChars="200"/>
              <w:rPr>
                <w:rFonts w:eastAsia="宋体" w:cs="Times New Roman"/>
                <w:kern w:val="0"/>
                <w:szCs w:val="20"/>
              </w:rPr>
            </w:pPr>
            <w:r>
              <w:rPr>
                <w:rFonts w:hint="eastAsia" w:eastAsia="宋体" w:cs="Times New Roman"/>
                <w:kern w:val="0"/>
                <w:szCs w:val="20"/>
              </w:rPr>
              <w:t>根据以上预测结果可以看出，主要噪声源通过采取基础减震、厂房隔声、以及合理的布置产噪设备等措施后，本项目的各生产设备在正常工况运行状态下，厂界四周噪声值能够满足《工业企业厂界环境噪声排放标准》（GB12348-2008）2类标准要求。</w:t>
            </w:r>
          </w:p>
          <w:p>
            <w:pPr>
              <w:ind w:firstLine="480" w:firstLineChars="200"/>
              <w:rPr>
                <w:rFonts w:eastAsia="宋体" w:cs="Times New Roman"/>
                <w:kern w:val="0"/>
                <w:szCs w:val="20"/>
              </w:rPr>
            </w:pPr>
            <w:r>
              <w:rPr>
                <w:rFonts w:eastAsia="宋体" w:cs="Times New Roman"/>
                <w:kern w:val="0"/>
                <w:szCs w:val="24"/>
              </w:rPr>
              <w:t>针对噪声特点，为减少项目生产噪声对周边环境的影响，要求企业生产过程中落实以下措施：</w:t>
            </w:r>
          </w:p>
          <w:p>
            <w:pPr>
              <w:ind w:firstLine="480" w:firstLineChars="200"/>
              <w:rPr>
                <w:rFonts w:eastAsia="宋体" w:cs="Times New Roman"/>
                <w:kern w:val="0"/>
                <w:szCs w:val="20"/>
              </w:rPr>
            </w:pPr>
            <w:r>
              <w:rPr>
                <w:rFonts w:hint="eastAsia" w:ascii="宋体" w:hAnsi="宋体" w:eastAsia="宋体" w:cs="宋体"/>
                <w:kern w:val="0"/>
                <w:szCs w:val="24"/>
              </w:rPr>
              <w:t>①</w:t>
            </w:r>
            <w:r>
              <w:rPr>
                <w:rFonts w:eastAsia="宋体" w:cs="Times New Roman"/>
                <w:kern w:val="0"/>
                <w:szCs w:val="24"/>
              </w:rPr>
              <w:t>加强生产设备与环保设备的保养与维护，确保设备处于良好的运转状态，杜绝设备不正常运行产生高噪声的现象。</w:t>
            </w:r>
          </w:p>
          <w:p>
            <w:pPr>
              <w:ind w:firstLine="480" w:firstLineChars="200"/>
              <w:rPr>
                <w:rFonts w:eastAsia="宋体" w:cs="Times New Roman"/>
                <w:kern w:val="0"/>
                <w:szCs w:val="20"/>
              </w:rPr>
            </w:pPr>
            <w:r>
              <w:rPr>
                <w:rFonts w:hint="eastAsia" w:ascii="宋体" w:hAnsi="宋体" w:eastAsia="宋体" w:cs="宋体"/>
                <w:kern w:val="0"/>
                <w:szCs w:val="24"/>
              </w:rPr>
              <w:t>②</w:t>
            </w:r>
            <w:r>
              <w:rPr>
                <w:rFonts w:eastAsia="宋体" w:cs="Times New Roman"/>
                <w:kern w:val="0"/>
                <w:szCs w:val="24"/>
              </w:rPr>
              <w:t>从声源上控制，应选择符合国家噪声标准的生产设备及设施。</w:t>
            </w:r>
          </w:p>
          <w:p>
            <w:pPr>
              <w:ind w:firstLine="480" w:firstLineChars="200"/>
              <w:rPr>
                <w:rFonts w:eastAsia="宋体" w:cs="Times New Roman"/>
                <w:b/>
                <w:bCs/>
                <w:kern w:val="0"/>
                <w:szCs w:val="20"/>
              </w:rPr>
            </w:pPr>
            <w:r>
              <w:rPr>
                <w:rFonts w:hint="eastAsia" w:ascii="宋体" w:hAnsi="宋体" w:eastAsia="宋体" w:cs="宋体"/>
                <w:kern w:val="0"/>
                <w:szCs w:val="24"/>
              </w:rPr>
              <w:t>③</w:t>
            </w:r>
            <w:r>
              <w:rPr>
                <w:rFonts w:eastAsia="宋体" w:cs="Times New Roman"/>
                <w:kern w:val="0"/>
                <w:szCs w:val="24"/>
              </w:rPr>
              <w:t>优化平面布局，高噪声设备尽量布置在厂房中部区域，以确保噪声达标排放</w:t>
            </w:r>
            <w:r>
              <w:rPr>
                <w:rFonts w:hint="eastAsia" w:eastAsia="宋体" w:cs="Times New Roman"/>
                <w:kern w:val="0"/>
                <w:szCs w:val="24"/>
              </w:rPr>
              <w:t>。</w:t>
            </w:r>
          </w:p>
          <w:p>
            <w:pPr>
              <w:ind w:firstLine="482" w:firstLineChars="200"/>
              <w:rPr>
                <w:rFonts w:eastAsia="宋体" w:cs="Times New Roman"/>
                <w:b/>
                <w:bCs/>
                <w:kern w:val="0"/>
                <w:szCs w:val="32"/>
              </w:rPr>
            </w:pPr>
            <w:r>
              <w:rPr>
                <w:rFonts w:eastAsia="宋体" w:cs="Times New Roman"/>
                <w:b/>
                <w:bCs/>
                <w:kern w:val="0"/>
                <w:szCs w:val="32"/>
              </w:rPr>
              <w:t>3、环境监测与管理</w:t>
            </w:r>
          </w:p>
          <w:p>
            <w:pPr>
              <w:ind w:firstLine="480" w:firstLineChars="200"/>
              <w:rPr>
                <w:rFonts w:eastAsia="宋体" w:cs="Times New Roman"/>
                <w:bCs/>
                <w:kern w:val="0"/>
                <w:szCs w:val="20"/>
              </w:rPr>
            </w:pPr>
            <w:r>
              <w:rPr>
                <w:rFonts w:eastAsia="宋体" w:cs="Times New Roman"/>
                <w:bCs/>
                <w:kern w:val="0"/>
                <w:szCs w:val="24"/>
              </w:rPr>
              <w:t>本项目夜间不生产，根据《排污单位自行监测技术指南 总则》（HJ819-2017），本项目运营期应对厂界噪声环境开展自行监测，各监测点位、监测频次等要求见表4-</w:t>
            </w:r>
            <w:r>
              <w:rPr>
                <w:rFonts w:hint="eastAsia" w:eastAsia="宋体" w:cs="Times New Roman"/>
                <w:bCs/>
                <w:kern w:val="0"/>
                <w:szCs w:val="24"/>
              </w:rPr>
              <w:t>10</w:t>
            </w:r>
            <w:r>
              <w:rPr>
                <w:rFonts w:eastAsia="宋体" w:cs="Times New Roman"/>
                <w:bCs/>
                <w:kern w:val="0"/>
                <w:szCs w:val="24"/>
              </w:rPr>
              <w:t>。</w:t>
            </w:r>
          </w:p>
          <w:p>
            <w:pPr>
              <w:pStyle w:val="28"/>
              <w:rPr>
                <w:szCs w:val="21"/>
              </w:rPr>
            </w:pPr>
            <w:r>
              <w:rPr>
                <w:rFonts w:hint="eastAsia"/>
                <w:szCs w:val="21"/>
              </w:rPr>
              <w:t>表4-</w:t>
            </w:r>
            <w:r>
              <w:rPr>
                <w:rFonts w:hint="eastAsia"/>
                <w:szCs w:val="21"/>
                <w:lang w:val="en-US"/>
              </w:rPr>
              <w:t>10</w:t>
            </w:r>
            <w:r>
              <w:rPr>
                <w:rFonts w:hint="eastAsia"/>
                <w:szCs w:val="21"/>
              </w:rPr>
              <w:t xml:space="preserve"> 本项目噪声自行监测一览表</w:t>
            </w:r>
          </w:p>
          <w:tbl>
            <w:tblPr>
              <w:tblStyle w:val="2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182"/>
              <w:gridCol w:w="1198"/>
              <w:gridCol w:w="1984"/>
              <w:gridCol w:w="925"/>
              <w:gridCol w:w="11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27"/>
                    <w:jc w:val="center"/>
                    <w:rPr>
                      <w:rFonts w:eastAsia="宋体" w:cs="Times New Roman"/>
                      <w:kern w:val="0"/>
                      <w:szCs w:val="21"/>
                    </w:rPr>
                  </w:pPr>
                  <w:r>
                    <w:rPr>
                      <w:rFonts w:hint="eastAsia" w:eastAsia="宋体" w:cs="Times New Roman"/>
                      <w:kern w:val="0"/>
                      <w:szCs w:val="21"/>
                    </w:rPr>
                    <w:t>监测点位</w:t>
                  </w:r>
                </w:p>
              </w:tc>
              <w:tc>
                <w:tcPr>
                  <w:tcW w:w="1182" w:type="dxa"/>
                  <w:vAlign w:val="center"/>
                </w:tcPr>
                <w:p>
                  <w:pPr>
                    <w:pStyle w:val="27"/>
                    <w:jc w:val="center"/>
                    <w:rPr>
                      <w:rFonts w:eastAsia="宋体" w:cs="Times New Roman"/>
                      <w:kern w:val="0"/>
                      <w:szCs w:val="21"/>
                    </w:rPr>
                  </w:pPr>
                  <w:r>
                    <w:rPr>
                      <w:rFonts w:hint="eastAsia" w:eastAsia="宋体" w:cs="Times New Roman"/>
                      <w:kern w:val="0"/>
                      <w:szCs w:val="21"/>
                    </w:rPr>
                    <w:t>监测项目</w:t>
                  </w:r>
                </w:p>
              </w:tc>
              <w:tc>
                <w:tcPr>
                  <w:tcW w:w="1198" w:type="dxa"/>
                  <w:vAlign w:val="center"/>
                </w:tcPr>
                <w:p>
                  <w:pPr>
                    <w:pStyle w:val="27"/>
                    <w:jc w:val="center"/>
                    <w:rPr>
                      <w:rFonts w:eastAsia="宋体" w:cs="Times New Roman"/>
                      <w:kern w:val="0"/>
                      <w:szCs w:val="21"/>
                    </w:rPr>
                  </w:pPr>
                  <w:r>
                    <w:rPr>
                      <w:rFonts w:hint="eastAsia" w:eastAsia="宋体" w:cs="Times New Roman"/>
                      <w:kern w:val="0"/>
                      <w:szCs w:val="21"/>
                    </w:rPr>
                    <w:t>监测频次</w:t>
                  </w:r>
                </w:p>
              </w:tc>
              <w:tc>
                <w:tcPr>
                  <w:tcW w:w="1984" w:type="dxa"/>
                  <w:vAlign w:val="center"/>
                </w:tcPr>
                <w:p>
                  <w:pPr>
                    <w:pStyle w:val="27"/>
                    <w:jc w:val="center"/>
                    <w:rPr>
                      <w:rFonts w:eastAsia="宋体" w:cs="Times New Roman"/>
                      <w:kern w:val="0"/>
                      <w:szCs w:val="21"/>
                    </w:rPr>
                  </w:pPr>
                  <w:r>
                    <w:rPr>
                      <w:rFonts w:hint="eastAsia" w:eastAsia="宋体" w:cs="Times New Roman"/>
                      <w:kern w:val="0"/>
                      <w:szCs w:val="21"/>
                    </w:rPr>
                    <w:t>执行标准</w:t>
                  </w:r>
                </w:p>
              </w:tc>
              <w:tc>
                <w:tcPr>
                  <w:tcW w:w="925" w:type="dxa"/>
                  <w:vAlign w:val="center"/>
                </w:tcPr>
                <w:p>
                  <w:pPr>
                    <w:pStyle w:val="27"/>
                    <w:jc w:val="center"/>
                    <w:rPr>
                      <w:rFonts w:eastAsia="宋体" w:cs="Times New Roman"/>
                      <w:kern w:val="0"/>
                      <w:szCs w:val="21"/>
                    </w:rPr>
                  </w:pPr>
                  <w:r>
                    <w:rPr>
                      <w:rFonts w:hint="eastAsia" w:eastAsia="宋体" w:cs="Times New Roman"/>
                      <w:kern w:val="0"/>
                      <w:szCs w:val="21"/>
                    </w:rPr>
                    <w:t>级别</w:t>
                  </w:r>
                </w:p>
              </w:tc>
              <w:tc>
                <w:tcPr>
                  <w:tcW w:w="1123" w:type="dxa"/>
                  <w:vAlign w:val="center"/>
                </w:tcPr>
                <w:p>
                  <w:pPr>
                    <w:pStyle w:val="27"/>
                    <w:jc w:val="center"/>
                    <w:rPr>
                      <w:rFonts w:eastAsia="宋体" w:cs="Times New Roman"/>
                      <w:kern w:val="0"/>
                      <w:szCs w:val="21"/>
                    </w:rPr>
                  </w:pPr>
                  <w:r>
                    <w:rPr>
                      <w:rFonts w:hint="eastAsia" w:eastAsia="宋体" w:cs="Times New Roman"/>
                      <w:kern w:val="0"/>
                      <w:szCs w:val="21"/>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27"/>
                    <w:jc w:val="center"/>
                    <w:rPr>
                      <w:rFonts w:eastAsia="宋体" w:cs="Times New Roman"/>
                      <w:kern w:val="0"/>
                      <w:szCs w:val="21"/>
                    </w:rPr>
                  </w:pPr>
                  <w:r>
                    <w:rPr>
                      <w:rFonts w:hint="eastAsia" w:eastAsia="宋体" w:cs="Times New Roman"/>
                      <w:kern w:val="0"/>
                      <w:szCs w:val="21"/>
                    </w:rPr>
                    <w:t>厂界北侧</w:t>
                  </w:r>
                </w:p>
              </w:tc>
              <w:tc>
                <w:tcPr>
                  <w:tcW w:w="1182" w:type="dxa"/>
                  <w:vMerge w:val="restart"/>
                  <w:vAlign w:val="center"/>
                </w:tcPr>
                <w:p>
                  <w:pPr>
                    <w:pStyle w:val="27"/>
                    <w:jc w:val="center"/>
                    <w:rPr>
                      <w:rFonts w:eastAsia="宋体" w:cs="Times New Roman"/>
                      <w:kern w:val="0"/>
                      <w:szCs w:val="21"/>
                    </w:rPr>
                  </w:pPr>
                  <w:r>
                    <w:rPr>
                      <w:rFonts w:eastAsia="宋体" w:cs="Times New Roman"/>
                      <w:kern w:val="0"/>
                      <w:szCs w:val="21"/>
                    </w:rPr>
                    <w:t>等效连续A声级，LeqdB（A）级</w:t>
                  </w:r>
                </w:p>
              </w:tc>
              <w:tc>
                <w:tcPr>
                  <w:tcW w:w="1198" w:type="dxa"/>
                  <w:vAlign w:val="center"/>
                </w:tcPr>
                <w:p>
                  <w:pPr>
                    <w:pStyle w:val="27"/>
                    <w:jc w:val="center"/>
                    <w:rPr>
                      <w:rFonts w:eastAsia="宋体" w:cs="Times New Roman"/>
                      <w:kern w:val="0"/>
                      <w:szCs w:val="21"/>
                    </w:rPr>
                  </w:pPr>
                  <w:r>
                    <w:rPr>
                      <w:rFonts w:hint="eastAsia" w:eastAsia="宋体" w:cs="Times New Roman"/>
                      <w:kern w:val="0"/>
                      <w:szCs w:val="21"/>
                    </w:rPr>
                    <w:t>1次/季度</w:t>
                  </w:r>
                </w:p>
              </w:tc>
              <w:tc>
                <w:tcPr>
                  <w:tcW w:w="1984" w:type="dxa"/>
                  <w:vMerge w:val="restart"/>
                  <w:vAlign w:val="center"/>
                </w:tcPr>
                <w:p>
                  <w:pPr>
                    <w:pStyle w:val="27"/>
                    <w:jc w:val="center"/>
                    <w:rPr>
                      <w:rFonts w:eastAsia="宋体" w:cs="Times New Roman"/>
                      <w:kern w:val="0"/>
                      <w:szCs w:val="21"/>
                    </w:rPr>
                  </w:pPr>
                  <w:r>
                    <w:rPr>
                      <w:rFonts w:hint="eastAsia" w:eastAsia="宋体" w:cs="Times New Roman"/>
                      <w:kern w:val="0"/>
                      <w:szCs w:val="21"/>
                    </w:rPr>
                    <w:t>《工业企业厂界环境噪声排放标准》（GB12348-2008）</w:t>
                  </w:r>
                </w:p>
              </w:tc>
              <w:tc>
                <w:tcPr>
                  <w:tcW w:w="925" w:type="dxa"/>
                  <w:vMerge w:val="restart"/>
                  <w:vAlign w:val="center"/>
                </w:tcPr>
                <w:p>
                  <w:pPr>
                    <w:pStyle w:val="27"/>
                    <w:jc w:val="center"/>
                    <w:rPr>
                      <w:rFonts w:eastAsia="宋体" w:cs="Times New Roman"/>
                      <w:kern w:val="0"/>
                      <w:szCs w:val="21"/>
                    </w:rPr>
                  </w:pPr>
                  <w:r>
                    <w:rPr>
                      <w:rFonts w:eastAsia="宋体" w:cs="Times New Roman"/>
                      <w:kern w:val="0"/>
                      <w:szCs w:val="21"/>
                    </w:rPr>
                    <w:t>2类</w:t>
                  </w:r>
                </w:p>
              </w:tc>
              <w:tc>
                <w:tcPr>
                  <w:tcW w:w="1123" w:type="dxa"/>
                  <w:vMerge w:val="restart"/>
                  <w:vAlign w:val="center"/>
                </w:tcPr>
                <w:p>
                  <w:pPr>
                    <w:pStyle w:val="27"/>
                    <w:jc w:val="center"/>
                    <w:rPr>
                      <w:rFonts w:eastAsia="宋体" w:cs="Times New Roman"/>
                      <w:kern w:val="0"/>
                      <w:szCs w:val="21"/>
                    </w:rPr>
                  </w:pPr>
                  <w:r>
                    <w:rPr>
                      <w:rFonts w:hint="eastAsia" w:eastAsia="宋体" w:cs="Times New Roman"/>
                      <w:kern w:val="0"/>
                      <w:szCs w:val="21"/>
                    </w:rPr>
                    <w:t>昼间：60</w:t>
                  </w:r>
                </w:p>
                <w:p>
                  <w:pPr>
                    <w:pStyle w:val="27"/>
                    <w:jc w:val="center"/>
                    <w:rPr>
                      <w:rFonts w:eastAsia="宋体" w:cs="Times New Roman"/>
                      <w:kern w:val="0"/>
                      <w:szCs w:val="21"/>
                    </w:rPr>
                  </w:pPr>
                  <w:r>
                    <w:rPr>
                      <w:rFonts w:hint="eastAsia" w:eastAsia="宋体" w:cs="Times New Roman"/>
                      <w:kern w:val="0"/>
                      <w:szCs w:val="21"/>
                    </w:rPr>
                    <w:t>夜间：50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27"/>
                    <w:jc w:val="center"/>
                    <w:rPr>
                      <w:rFonts w:eastAsia="宋体" w:cs="Times New Roman"/>
                      <w:kern w:val="0"/>
                      <w:szCs w:val="21"/>
                    </w:rPr>
                  </w:pPr>
                  <w:r>
                    <w:rPr>
                      <w:rFonts w:hint="eastAsia" w:eastAsia="宋体" w:cs="Times New Roman"/>
                      <w:kern w:val="0"/>
                      <w:szCs w:val="21"/>
                    </w:rPr>
                    <w:t>厂界西侧</w:t>
                  </w:r>
                </w:p>
              </w:tc>
              <w:tc>
                <w:tcPr>
                  <w:tcW w:w="1182" w:type="dxa"/>
                  <w:vMerge w:val="continue"/>
                  <w:vAlign w:val="center"/>
                </w:tcPr>
                <w:p>
                  <w:pPr>
                    <w:pStyle w:val="27"/>
                    <w:jc w:val="center"/>
                    <w:rPr>
                      <w:rFonts w:eastAsia="宋体" w:cs="Times New Roman"/>
                      <w:kern w:val="0"/>
                      <w:szCs w:val="21"/>
                    </w:rPr>
                  </w:pPr>
                </w:p>
              </w:tc>
              <w:tc>
                <w:tcPr>
                  <w:tcW w:w="1198" w:type="dxa"/>
                  <w:vAlign w:val="center"/>
                </w:tcPr>
                <w:p>
                  <w:pPr>
                    <w:pStyle w:val="27"/>
                    <w:jc w:val="center"/>
                    <w:rPr>
                      <w:rFonts w:eastAsia="宋体" w:cs="Times New Roman"/>
                      <w:kern w:val="0"/>
                      <w:szCs w:val="21"/>
                    </w:rPr>
                  </w:pPr>
                  <w:r>
                    <w:rPr>
                      <w:rFonts w:hint="eastAsia" w:eastAsia="宋体" w:cs="Times New Roman"/>
                      <w:kern w:val="0"/>
                      <w:szCs w:val="21"/>
                    </w:rPr>
                    <w:t>1次/季度</w:t>
                  </w:r>
                </w:p>
              </w:tc>
              <w:tc>
                <w:tcPr>
                  <w:tcW w:w="1984" w:type="dxa"/>
                  <w:vMerge w:val="continue"/>
                  <w:vAlign w:val="center"/>
                </w:tcPr>
                <w:p>
                  <w:pPr>
                    <w:pStyle w:val="27"/>
                    <w:jc w:val="center"/>
                    <w:rPr>
                      <w:rFonts w:eastAsia="宋体" w:cs="Times New Roman"/>
                      <w:kern w:val="0"/>
                      <w:sz w:val="20"/>
                      <w:szCs w:val="20"/>
                    </w:rPr>
                  </w:pPr>
                </w:p>
              </w:tc>
              <w:tc>
                <w:tcPr>
                  <w:tcW w:w="925" w:type="dxa"/>
                  <w:vMerge w:val="continue"/>
                  <w:vAlign w:val="center"/>
                </w:tcPr>
                <w:p>
                  <w:pPr>
                    <w:pStyle w:val="27"/>
                    <w:rPr>
                      <w:rFonts w:eastAsia="宋体" w:cs="Times New Roman"/>
                      <w:kern w:val="0"/>
                      <w:sz w:val="20"/>
                      <w:szCs w:val="20"/>
                    </w:rPr>
                  </w:pPr>
                </w:p>
              </w:tc>
              <w:tc>
                <w:tcPr>
                  <w:tcW w:w="1123" w:type="dxa"/>
                  <w:vMerge w:val="continue"/>
                  <w:vAlign w:val="center"/>
                </w:tcPr>
                <w:p>
                  <w:pPr>
                    <w:pStyle w:val="27"/>
                    <w:rPr>
                      <w:rFonts w:eastAsia="宋体" w:cs="Times New Roman"/>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27"/>
                    <w:jc w:val="center"/>
                    <w:rPr>
                      <w:rFonts w:eastAsia="宋体" w:cs="Times New Roman"/>
                      <w:kern w:val="0"/>
                      <w:szCs w:val="21"/>
                    </w:rPr>
                  </w:pPr>
                  <w:r>
                    <w:rPr>
                      <w:rFonts w:hint="eastAsia" w:eastAsia="宋体" w:cs="Times New Roman"/>
                      <w:kern w:val="0"/>
                      <w:szCs w:val="21"/>
                    </w:rPr>
                    <w:t>厂界东侧</w:t>
                  </w:r>
                </w:p>
              </w:tc>
              <w:tc>
                <w:tcPr>
                  <w:tcW w:w="1182" w:type="dxa"/>
                  <w:vMerge w:val="continue"/>
                  <w:vAlign w:val="center"/>
                </w:tcPr>
                <w:p>
                  <w:pPr>
                    <w:pStyle w:val="27"/>
                    <w:jc w:val="center"/>
                    <w:rPr>
                      <w:rFonts w:eastAsia="宋体" w:cs="Times New Roman"/>
                      <w:kern w:val="0"/>
                      <w:szCs w:val="21"/>
                    </w:rPr>
                  </w:pPr>
                </w:p>
              </w:tc>
              <w:tc>
                <w:tcPr>
                  <w:tcW w:w="1198" w:type="dxa"/>
                  <w:vAlign w:val="center"/>
                </w:tcPr>
                <w:p>
                  <w:pPr>
                    <w:pStyle w:val="27"/>
                    <w:jc w:val="center"/>
                    <w:rPr>
                      <w:rFonts w:eastAsia="宋体" w:cs="Times New Roman"/>
                      <w:kern w:val="0"/>
                      <w:szCs w:val="21"/>
                    </w:rPr>
                  </w:pPr>
                  <w:r>
                    <w:rPr>
                      <w:rFonts w:hint="eastAsia" w:eastAsia="宋体" w:cs="Times New Roman"/>
                      <w:kern w:val="0"/>
                      <w:szCs w:val="21"/>
                    </w:rPr>
                    <w:t>1次/季度</w:t>
                  </w:r>
                </w:p>
              </w:tc>
              <w:tc>
                <w:tcPr>
                  <w:tcW w:w="1984" w:type="dxa"/>
                  <w:vMerge w:val="continue"/>
                  <w:vAlign w:val="center"/>
                </w:tcPr>
                <w:p>
                  <w:pPr>
                    <w:pStyle w:val="27"/>
                    <w:jc w:val="center"/>
                    <w:rPr>
                      <w:rFonts w:eastAsia="宋体" w:cs="Times New Roman"/>
                      <w:kern w:val="0"/>
                      <w:sz w:val="20"/>
                      <w:szCs w:val="20"/>
                    </w:rPr>
                  </w:pPr>
                </w:p>
              </w:tc>
              <w:tc>
                <w:tcPr>
                  <w:tcW w:w="925" w:type="dxa"/>
                  <w:vMerge w:val="continue"/>
                  <w:vAlign w:val="center"/>
                </w:tcPr>
                <w:p>
                  <w:pPr>
                    <w:pStyle w:val="27"/>
                    <w:rPr>
                      <w:rFonts w:eastAsia="宋体" w:cs="Times New Roman"/>
                      <w:kern w:val="0"/>
                      <w:sz w:val="20"/>
                      <w:szCs w:val="20"/>
                    </w:rPr>
                  </w:pPr>
                </w:p>
              </w:tc>
              <w:tc>
                <w:tcPr>
                  <w:tcW w:w="1123" w:type="dxa"/>
                  <w:vMerge w:val="continue"/>
                  <w:vAlign w:val="center"/>
                </w:tcPr>
                <w:p>
                  <w:pPr>
                    <w:pStyle w:val="27"/>
                    <w:rPr>
                      <w:rFonts w:eastAsia="宋体" w:cs="Times New Roman"/>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pStyle w:val="27"/>
                    <w:jc w:val="center"/>
                    <w:rPr>
                      <w:rFonts w:eastAsia="宋体" w:cs="Times New Roman"/>
                      <w:kern w:val="0"/>
                      <w:szCs w:val="21"/>
                    </w:rPr>
                  </w:pPr>
                  <w:r>
                    <w:rPr>
                      <w:rFonts w:hint="eastAsia" w:eastAsia="宋体" w:cs="Times New Roman"/>
                      <w:kern w:val="0"/>
                      <w:szCs w:val="21"/>
                    </w:rPr>
                    <w:t>厂界南侧</w:t>
                  </w:r>
                </w:p>
              </w:tc>
              <w:tc>
                <w:tcPr>
                  <w:tcW w:w="1182" w:type="dxa"/>
                  <w:vMerge w:val="continue"/>
                  <w:vAlign w:val="center"/>
                </w:tcPr>
                <w:p>
                  <w:pPr>
                    <w:pStyle w:val="27"/>
                    <w:jc w:val="center"/>
                    <w:rPr>
                      <w:rFonts w:eastAsia="宋体" w:cs="Times New Roman"/>
                      <w:kern w:val="0"/>
                      <w:szCs w:val="21"/>
                    </w:rPr>
                  </w:pPr>
                </w:p>
              </w:tc>
              <w:tc>
                <w:tcPr>
                  <w:tcW w:w="1198" w:type="dxa"/>
                  <w:vAlign w:val="center"/>
                </w:tcPr>
                <w:p>
                  <w:pPr>
                    <w:pStyle w:val="27"/>
                    <w:jc w:val="center"/>
                    <w:rPr>
                      <w:rFonts w:eastAsia="宋体" w:cs="Times New Roman"/>
                      <w:kern w:val="0"/>
                      <w:szCs w:val="21"/>
                    </w:rPr>
                  </w:pPr>
                  <w:r>
                    <w:rPr>
                      <w:rFonts w:hint="eastAsia" w:eastAsia="宋体" w:cs="Times New Roman"/>
                      <w:kern w:val="0"/>
                      <w:szCs w:val="21"/>
                    </w:rPr>
                    <w:t>1次/季度</w:t>
                  </w:r>
                </w:p>
              </w:tc>
              <w:tc>
                <w:tcPr>
                  <w:tcW w:w="1984" w:type="dxa"/>
                  <w:vMerge w:val="continue"/>
                  <w:vAlign w:val="center"/>
                </w:tcPr>
                <w:p>
                  <w:pPr>
                    <w:pStyle w:val="27"/>
                    <w:jc w:val="center"/>
                    <w:rPr>
                      <w:rFonts w:eastAsia="宋体" w:cs="Times New Roman"/>
                      <w:kern w:val="0"/>
                      <w:sz w:val="20"/>
                      <w:szCs w:val="20"/>
                    </w:rPr>
                  </w:pPr>
                </w:p>
              </w:tc>
              <w:tc>
                <w:tcPr>
                  <w:tcW w:w="925" w:type="dxa"/>
                  <w:vMerge w:val="continue"/>
                  <w:vAlign w:val="center"/>
                </w:tcPr>
                <w:p>
                  <w:pPr>
                    <w:pStyle w:val="27"/>
                    <w:rPr>
                      <w:rFonts w:eastAsia="宋体" w:cs="Times New Roman"/>
                      <w:kern w:val="0"/>
                      <w:sz w:val="20"/>
                      <w:szCs w:val="20"/>
                    </w:rPr>
                  </w:pPr>
                </w:p>
              </w:tc>
              <w:tc>
                <w:tcPr>
                  <w:tcW w:w="1123" w:type="dxa"/>
                  <w:vMerge w:val="continue"/>
                  <w:vAlign w:val="center"/>
                </w:tcPr>
                <w:p>
                  <w:pPr>
                    <w:pStyle w:val="27"/>
                    <w:rPr>
                      <w:rFonts w:eastAsia="宋体" w:cs="Times New Roman"/>
                      <w:kern w:val="0"/>
                      <w:sz w:val="20"/>
                      <w:szCs w:val="20"/>
                    </w:rPr>
                  </w:pPr>
                </w:p>
              </w:tc>
            </w:tr>
          </w:tbl>
          <w:p>
            <w:pPr>
              <w:rPr>
                <w:rFonts w:eastAsia="宋体" w:cs="Times New Roman"/>
                <w:b/>
                <w:bCs/>
                <w:kern w:val="0"/>
                <w:szCs w:val="20"/>
              </w:rPr>
            </w:pPr>
            <w:r>
              <w:rPr>
                <w:rFonts w:hint="eastAsia" w:eastAsia="宋体" w:cs="Times New Roman"/>
                <w:b/>
                <w:bCs/>
                <w:kern w:val="0"/>
                <w:szCs w:val="20"/>
              </w:rPr>
              <w:t>（四）固体废物环境影响分析</w:t>
            </w:r>
          </w:p>
          <w:p>
            <w:pPr>
              <w:ind w:firstLine="482" w:firstLineChars="200"/>
              <w:rPr>
                <w:rFonts w:eastAsia="宋体" w:cs="Times New Roman"/>
                <w:b/>
                <w:bCs/>
                <w:kern w:val="0"/>
                <w:szCs w:val="20"/>
              </w:rPr>
            </w:pPr>
            <w:r>
              <w:rPr>
                <w:rFonts w:hint="eastAsia" w:eastAsia="宋体" w:cs="Times New Roman"/>
                <w:b/>
                <w:bCs/>
                <w:kern w:val="0"/>
                <w:szCs w:val="20"/>
              </w:rPr>
              <w:t>1、固体废物排放量计算</w:t>
            </w:r>
          </w:p>
          <w:p>
            <w:pPr>
              <w:ind w:firstLine="480" w:firstLineChars="200"/>
              <w:rPr>
                <w:rFonts w:eastAsia="宋体" w:cs="Times New Roman"/>
                <w:kern w:val="0"/>
                <w:szCs w:val="20"/>
              </w:rPr>
            </w:pPr>
            <w:r>
              <w:rPr>
                <w:rFonts w:hint="eastAsia" w:eastAsia="宋体" w:cs="Times New Roman"/>
                <w:kern w:val="0"/>
                <w:szCs w:val="20"/>
              </w:rPr>
              <w:t>本项目固体废物产生情况详见下表4-11。</w:t>
            </w:r>
          </w:p>
          <w:p>
            <w:pPr>
              <w:pStyle w:val="28"/>
              <w:rPr>
                <w:szCs w:val="21"/>
              </w:rPr>
            </w:pPr>
            <w:r>
              <w:rPr>
                <w:rFonts w:hint="eastAsia"/>
                <w:szCs w:val="21"/>
              </w:rPr>
              <w:t>表4-</w:t>
            </w:r>
            <w:r>
              <w:rPr>
                <w:rFonts w:hint="eastAsia"/>
                <w:szCs w:val="21"/>
                <w:lang w:val="en-US"/>
              </w:rPr>
              <w:t>11</w:t>
            </w:r>
            <w:r>
              <w:rPr>
                <w:szCs w:val="21"/>
              </w:rPr>
              <w:t xml:space="preserve">  </w:t>
            </w:r>
            <w:r>
              <w:rPr>
                <w:rFonts w:hint="eastAsia"/>
                <w:szCs w:val="21"/>
              </w:rPr>
              <w:t>项目运营期固体废物产生情况一览表</w:t>
            </w:r>
          </w:p>
          <w:tbl>
            <w:tblPr>
              <w:tblStyle w:val="2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797"/>
              <w:gridCol w:w="873"/>
              <w:gridCol w:w="1311"/>
              <w:gridCol w:w="626"/>
              <w:gridCol w:w="745"/>
              <w:gridCol w:w="1004"/>
              <w:gridCol w:w="13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27"/>
                    <w:jc w:val="center"/>
                    <w:rPr>
                      <w:rFonts w:eastAsia="宋体" w:cs="Times New Roman"/>
                      <w:kern w:val="0"/>
                      <w:szCs w:val="21"/>
                    </w:rPr>
                  </w:pPr>
                  <w:r>
                    <w:rPr>
                      <w:rFonts w:hint="eastAsia" w:eastAsia="宋体" w:cs="Times New Roman"/>
                      <w:kern w:val="0"/>
                      <w:szCs w:val="21"/>
                    </w:rPr>
                    <w:t>固体废物名称</w:t>
                  </w:r>
                </w:p>
              </w:tc>
              <w:tc>
                <w:tcPr>
                  <w:tcW w:w="797" w:type="dxa"/>
                  <w:vAlign w:val="center"/>
                </w:tcPr>
                <w:p>
                  <w:pPr>
                    <w:pStyle w:val="27"/>
                    <w:jc w:val="center"/>
                    <w:rPr>
                      <w:rFonts w:eastAsia="宋体" w:cs="Times New Roman"/>
                      <w:kern w:val="0"/>
                      <w:szCs w:val="21"/>
                    </w:rPr>
                  </w:pPr>
                  <w:r>
                    <w:rPr>
                      <w:rFonts w:hint="eastAsia" w:eastAsia="宋体" w:cs="Times New Roman"/>
                      <w:kern w:val="0"/>
                      <w:szCs w:val="21"/>
                    </w:rPr>
                    <w:t>产生环节</w:t>
                  </w:r>
                </w:p>
              </w:tc>
              <w:tc>
                <w:tcPr>
                  <w:tcW w:w="873" w:type="dxa"/>
                  <w:vAlign w:val="center"/>
                </w:tcPr>
                <w:p>
                  <w:pPr>
                    <w:pStyle w:val="27"/>
                    <w:jc w:val="center"/>
                    <w:rPr>
                      <w:rFonts w:eastAsia="宋体" w:cs="Times New Roman"/>
                      <w:kern w:val="0"/>
                      <w:szCs w:val="21"/>
                    </w:rPr>
                  </w:pPr>
                  <w:r>
                    <w:rPr>
                      <w:rFonts w:hint="eastAsia" w:eastAsia="宋体" w:cs="Times New Roman"/>
                      <w:kern w:val="0"/>
                      <w:szCs w:val="21"/>
                    </w:rPr>
                    <w:t>固废属性</w:t>
                  </w:r>
                </w:p>
              </w:tc>
              <w:tc>
                <w:tcPr>
                  <w:tcW w:w="1311" w:type="dxa"/>
                  <w:vAlign w:val="center"/>
                </w:tcPr>
                <w:p>
                  <w:pPr>
                    <w:pStyle w:val="27"/>
                    <w:jc w:val="center"/>
                    <w:rPr>
                      <w:rFonts w:eastAsia="宋体" w:cs="Times New Roman"/>
                      <w:kern w:val="0"/>
                      <w:szCs w:val="21"/>
                    </w:rPr>
                  </w:pPr>
                  <w:r>
                    <w:rPr>
                      <w:rFonts w:hint="eastAsia" w:eastAsia="宋体" w:cs="Times New Roman"/>
                      <w:kern w:val="0"/>
                      <w:szCs w:val="21"/>
                    </w:rPr>
                    <w:t>废物类别及代码</w:t>
                  </w:r>
                </w:p>
              </w:tc>
              <w:tc>
                <w:tcPr>
                  <w:tcW w:w="626" w:type="dxa"/>
                  <w:vAlign w:val="center"/>
                </w:tcPr>
                <w:p>
                  <w:pPr>
                    <w:pStyle w:val="27"/>
                    <w:jc w:val="center"/>
                    <w:rPr>
                      <w:rFonts w:eastAsia="宋体" w:cs="Times New Roman"/>
                      <w:kern w:val="0"/>
                      <w:szCs w:val="21"/>
                    </w:rPr>
                  </w:pPr>
                  <w:r>
                    <w:rPr>
                      <w:rFonts w:hint="eastAsia" w:eastAsia="宋体" w:cs="Times New Roman"/>
                      <w:kern w:val="0"/>
                      <w:szCs w:val="21"/>
                    </w:rPr>
                    <w:t>危险特性</w:t>
                  </w:r>
                </w:p>
              </w:tc>
              <w:tc>
                <w:tcPr>
                  <w:tcW w:w="745" w:type="dxa"/>
                  <w:vAlign w:val="center"/>
                </w:tcPr>
                <w:p>
                  <w:pPr>
                    <w:pStyle w:val="27"/>
                    <w:jc w:val="center"/>
                    <w:rPr>
                      <w:rFonts w:eastAsia="宋体" w:cs="Times New Roman"/>
                      <w:kern w:val="0"/>
                      <w:szCs w:val="21"/>
                    </w:rPr>
                  </w:pPr>
                  <w:r>
                    <w:rPr>
                      <w:rFonts w:hint="eastAsia" w:eastAsia="宋体" w:cs="Times New Roman"/>
                      <w:kern w:val="0"/>
                      <w:szCs w:val="21"/>
                    </w:rPr>
                    <w:t>物理性状</w:t>
                  </w:r>
                </w:p>
              </w:tc>
              <w:tc>
                <w:tcPr>
                  <w:tcW w:w="1004" w:type="dxa"/>
                  <w:vAlign w:val="center"/>
                </w:tcPr>
                <w:p>
                  <w:pPr>
                    <w:pStyle w:val="27"/>
                    <w:jc w:val="center"/>
                    <w:rPr>
                      <w:rFonts w:eastAsia="宋体" w:cs="Times New Roman"/>
                      <w:kern w:val="0"/>
                      <w:szCs w:val="21"/>
                    </w:rPr>
                  </w:pPr>
                  <w:r>
                    <w:rPr>
                      <w:rFonts w:hint="eastAsia" w:eastAsia="宋体" w:cs="Times New Roman"/>
                      <w:kern w:val="0"/>
                      <w:szCs w:val="21"/>
                    </w:rPr>
                    <w:t>产生量</w:t>
                  </w:r>
                </w:p>
              </w:tc>
              <w:tc>
                <w:tcPr>
                  <w:tcW w:w="1313" w:type="dxa"/>
                  <w:vAlign w:val="center"/>
                </w:tcPr>
                <w:p>
                  <w:pPr>
                    <w:pStyle w:val="27"/>
                    <w:jc w:val="center"/>
                    <w:rPr>
                      <w:rFonts w:eastAsia="宋体" w:cs="Times New Roman"/>
                      <w:kern w:val="0"/>
                      <w:szCs w:val="21"/>
                    </w:rPr>
                  </w:pPr>
                  <w:r>
                    <w:rPr>
                      <w:rFonts w:hint="eastAsia" w:eastAsia="宋体" w:cs="Times New Roman"/>
                      <w:kern w:val="0"/>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27"/>
                    <w:jc w:val="center"/>
                    <w:rPr>
                      <w:rFonts w:eastAsia="宋体" w:cs="Times New Roman"/>
                      <w:kern w:val="0"/>
                      <w:szCs w:val="21"/>
                    </w:rPr>
                  </w:pPr>
                  <w:r>
                    <w:rPr>
                      <w:rFonts w:hint="eastAsia" w:eastAsia="宋体" w:cs="Times New Roman"/>
                      <w:kern w:val="0"/>
                      <w:szCs w:val="21"/>
                    </w:rPr>
                    <w:t>生活垃圾</w:t>
                  </w:r>
                </w:p>
              </w:tc>
              <w:tc>
                <w:tcPr>
                  <w:tcW w:w="797" w:type="dxa"/>
                  <w:vAlign w:val="center"/>
                </w:tcPr>
                <w:p>
                  <w:pPr>
                    <w:pStyle w:val="27"/>
                    <w:jc w:val="center"/>
                    <w:rPr>
                      <w:rFonts w:eastAsia="宋体" w:cs="Times New Roman"/>
                      <w:kern w:val="0"/>
                      <w:szCs w:val="21"/>
                    </w:rPr>
                  </w:pPr>
                  <w:r>
                    <w:rPr>
                      <w:rFonts w:hint="eastAsia" w:eastAsia="宋体" w:cs="Times New Roman"/>
                      <w:kern w:val="0"/>
                      <w:szCs w:val="21"/>
                    </w:rPr>
                    <w:t>职工生活</w:t>
                  </w:r>
                </w:p>
              </w:tc>
              <w:tc>
                <w:tcPr>
                  <w:tcW w:w="873" w:type="dxa"/>
                  <w:vAlign w:val="center"/>
                </w:tcPr>
                <w:p>
                  <w:pPr>
                    <w:pStyle w:val="27"/>
                    <w:jc w:val="center"/>
                    <w:rPr>
                      <w:rFonts w:eastAsia="宋体" w:cs="Times New Roman"/>
                      <w:kern w:val="0"/>
                      <w:szCs w:val="21"/>
                    </w:rPr>
                  </w:pPr>
                  <w:r>
                    <w:rPr>
                      <w:rFonts w:hint="eastAsia" w:eastAsia="宋体" w:cs="Times New Roman"/>
                      <w:kern w:val="0"/>
                      <w:szCs w:val="21"/>
                    </w:rPr>
                    <w:t>/</w:t>
                  </w:r>
                </w:p>
              </w:tc>
              <w:tc>
                <w:tcPr>
                  <w:tcW w:w="1311" w:type="dxa"/>
                  <w:vAlign w:val="center"/>
                </w:tcPr>
                <w:p>
                  <w:pPr>
                    <w:pStyle w:val="27"/>
                    <w:jc w:val="center"/>
                    <w:rPr>
                      <w:rFonts w:eastAsia="宋体" w:cs="Times New Roman"/>
                      <w:kern w:val="0"/>
                      <w:szCs w:val="21"/>
                    </w:rPr>
                  </w:pPr>
                  <w:r>
                    <w:rPr>
                      <w:rFonts w:hint="eastAsia" w:eastAsia="宋体" w:cs="Times New Roman"/>
                      <w:kern w:val="0"/>
                      <w:szCs w:val="21"/>
                    </w:rPr>
                    <w:t>/</w:t>
                  </w:r>
                </w:p>
              </w:tc>
              <w:tc>
                <w:tcPr>
                  <w:tcW w:w="626" w:type="dxa"/>
                  <w:vAlign w:val="center"/>
                </w:tcPr>
                <w:p>
                  <w:pPr>
                    <w:pStyle w:val="27"/>
                    <w:jc w:val="center"/>
                    <w:rPr>
                      <w:rFonts w:eastAsia="宋体" w:cs="Times New Roman"/>
                      <w:kern w:val="0"/>
                      <w:szCs w:val="21"/>
                    </w:rPr>
                  </w:pPr>
                  <w:r>
                    <w:rPr>
                      <w:rFonts w:hint="eastAsia" w:eastAsia="宋体" w:cs="Times New Roman"/>
                      <w:kern w:val="0"/>
                      <w:szCs w:val="21"/>
                    </w:rPr>
                    <w:t>/</w:t>
                  </w:r>
                </w:p>
              </w:tc>
              <w:tc>
                <w:tcPr>
                  <w:tcW w:w="745" w:type="dxa"/>
                  <w:vAlign w:val="center"/>
                </w:tcPr>
                <w:p>
                  <w:pPr>
                    <w:pStyle w:val="27"/>
                    <w:jc w:val="center"/>
                    <w:rPr>
                      <w:rFonts w:eastAsia="宋体" w:cs="Times New Roman"/>
                      <w:kern w:val="0"/>
                      <w:szCs w:val="21"/>
                    </w:rPr>
                  </w:pPr>
                  <w:r>
                    <w:rPr>
                      <w:rFonts w:hint="eastAsia" w:eastAsia="宋体" w:cs="Times New Roman"/>
                      <w:kern w:val="0"/>
                      <w:szCs w:val="21"/>
                    </w:rPr>
                    <w:t>固态</w:t>
                  </w:r>
                </w:p>
              </w:tc>
              <w:tc>
                <w:tcPr>
                  <w:tcW w:w="1004" w:type="dxa"/>
                  <w:vAlign w:val="center"/>
                </w:tcPr>
                <w:p>
                  <w:pPr>
                    <w:pStyle w:val="27"/>
                    <w:jc w:val="center"/>
                    <w:rPr>
                      <w:rFonts w:eastAsia="宋体" w:cs="Times New Roman"/>
                      <w:kern w:val="0"/>
                      <w:szCs w:val="21"/>
                    </w:rPr>
                  </w:pPr>
                  <w:r>
                    <w:rPr>
                      <w:rFonts w:hint="eastAsia" w:eastAsia="宋体" w:cs="Times New Roman"/>
                      <w:kern w:val="0"/>
                      <w:szCs w:val="21"/>
                    </w:rPr>
                    <w:t>3.0</w:t>
                  </w:r>
                  <w:r>
                    <w:rPr>
                      <w:rFonts w:eastAsia="宋体" w:cs="Times New Roman"/>
                      <w:kern w:val="0"/>
                      <w:szCs w:val="21"/>
                    </w:rPr>
                    <w:t>t/a</w:t>
                  </w:r>
                </w:p>
              </w:tc>
              <w:tc>
                <w:tcPr>
                  <w:tcW w:w="1313" w:type="dxa"/>
                  <w:vAlign w:val="center"/>
                </w:tcPr>
                <w:p>
                  <w:pPr>
                    <w:pStyle w:val="27"/>
                    <w:jc w:val="center"/>
                    <w:rPr>
                      <w:rFonts w:eastAsia="宋体" w:cs="Times New Roman"/>
                      <w:kern w:val="0"/>
                      <w:szCs w:val="21"/>
                    </w:rPr>
                  </w:pPr>
                  <w:r>
                    <w:rPr>
                      <w:rFonts w:hint="eastAsia" w:eastAsia="宋体" w:cs="Times New Roman"/>
                      <w:kern w:val="0"/>
                      <w:szCs w:val="21"/>
                    </w:rPr>
                    <w:t>分类收集由环卫部门清运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51"/>
                    <w:jc w:val="center"/>
                    <w:rPr>
                      <w:rFonts w:ascii="Times New Roman" w:cs="Times New Roman"/>
                      <w:color w:val="auto"/>
                      <w:sz w:val="21"/>
                      <w:szCs w:val="21"/>
                    </w:rPr>
                  </w:pPr>
                  <w:r>
                    <w:rPr>
                      <w:rFonts w:hint="eastAsia"/>
                      <w:color w:val="auto"/>
                      <w:sz w:val="21"/>
                      <w:szCs w:val="21"/>
                    </w:rPr>
                    <w:t>不合格物料</w:t>
                  </w:r>
                </w:p>
              </w:tc>
              <w:tc>
                <w:tcPr>
                  <w:tcW w:w="797" w:type="dxa"/>
                  <w:vAlign w:val="center"/>
                </w:tcPr>
                <w:p>
                  <w:pPr>
                    <w:pStyle w:val="27"/>
                    <w:jc w:val="center"/>
                    <w:rPr>
                      <w:rFonts w:eastAsia="宋体" w:cs="Times New Roman"/>
                      <w:kern w:val="0"/>
                      <w:szCs w:val="21"/>
                    </w:rPr>
                  </w:pPr>
                  <w:r>
                    <w:rPr>
                      <w:rFonts w:hint="eastAsia" w:eastAsia="宋体" w:cs="Times New Roman"/>
                      <w:kern w:val="0"/>
                      <w:szCs w:val="21"/>
                    </w:rPr>
                    <w:t>筛分</w:t>
                  </w:r>
                </w:p>
              </w:tc>
              <w:tc>
                <w:tcPr>
                  <w:tcW w:w="873" w:type="dxa"/>
                  <w:vAlign w:val="center"/>
                </w:tcPr>
                <w:p>
                  <w:pPr>
                    <w:pStyle w:val="27"/>
                    <w:jc w:val="center"/>
                    <w:rPr>
                      <w:rFonts w:eastAsia="宋体" w:cs="Times New Roman"/>
                      <w:kern w:val="0"/>
                      <w:szCs w:val="21"/>
                    </w:rPr>
                  </w:pPr>
                  <w:r>
                    <w:rPr>
                      <w:rFonts w:hint="eastAsia" w:eastAsia="宋体" w:cs="Times New Roman"/>
                      <w:kern w:val="0"/>
                      <w:szCs w:val="21"/>
                    </w:rPr>
                    <w:t>一般固废</w:t>
                  </w:r>
                </w:p>
              </w:tc>
              <w:tc>
                <w:tcPr>
                  <w:tcW w:w="1311" w:type="dxa"/>
                  <w:vAlign w:val="center"/>
                </w:tcPr>
                <w:p>
                  <w:pPr>
                    <w:pStyle w:val="27"/>
                    <w:jc w:val="center"/>
                    <w:rPr>
                      <w:rFonts w:eastAsia="宋体" w:cs="Times New Roman"/>
                      <w:kern w:val="0"/>
                      <w:szCs w:val="21"/>
                    </w:rPr>
                  </w:pPr>
                  <w:r>
                    <w:rPr>
                      <w:rFonts w:eastAsia="宋体" w:cs="Times New Roman"/>
                      <w:spacing w:val="-1"/>
                      <w:szCs w:val="21"/>
                    </w:rPr>
                    <w:t>其他废物30</w:t>
                  </w:r>
                  <w:r>
                    <w:rPr>
                      <w:rFonts w:hint="eastAsia" w:eastAsia="宋体" w:cs="Times New Roman"/>
                      <w:spacing w:val="-1"/>
                      <w:szCs w:val="21"/>
                    </w:rPr>
                    <w:t>9</w:t>
                  </w:r>
                  <w:r>
                    <w:rPr>
                      <w:rFonts w:eastAsia="宋体" w:cs="Times New Roman"/>
                      <w:spacing w:val="-1"/>
                      <w:szCs w:val="21"/>
                    </w:rPr>
                    <w:t>-001-99</w:t>
                  </w:r>
                </w:p>
              </w:tc>
              <w:tc>
                <w:tcPr>
                  <w:tcW w:w="626" w:type="dxa"/>
                  <w:vAlign w:val="center"/>
                </w:tcPr>
                <w:p>
                  <w:pPr>
                    <w:pStyle w:val="27"/>
                    <w:jc w:val="center"/>
                    <w:rPr>
                      <w:rFonts w:eastAsia="宋体" w:cs="Times New Roman"/>
                      <w:kern w:val="0"/>
                      <w:szCs w:val="21"/>
                    </w:rPr>
                  </w:pPr>
                  <w:r>
                    <w:rPr>
                      <w:rFonts w:eastAsia="宋体" w:cs="Times New Roman"/>
                      <w:spacing w:val="-1"/>
                      <w:szCs w:val="21"/>
                    </w:rPr>
                    <w:t>/</w:t>
                  </w:r>
                </w:p>
              </w:tc>
              <w:tc>
                <w:tcPr>
                  <w:tcW w:w="745" w:type="dxa"/>
                  <w:vAlign w:val="center"/>
                </w:tcPr>
                <w:p>
                  <w:pPr>
                    <w:pStyle w:val="27"/>
                    <w:jc w:val="center"/>
                    <w:rPr>
                      <w:rFonts w:eastAsia="宋体" w:cs="Times New Roman"/>
                      <w:kern w:val="0"/>
                      <w:szCs w:val="21"/>
                    </w:rPr>
                  </w:pPr>
                  <w:r>
                    <w:rPr>
                      <w:rFonts w:hint="eastAsia" w:eastAsia="宋体" w:cs="Times New Roman"/>
                      <w:kern w:val="0"/>
                      <w:szCs w:val="21"/>
                    </w:rPr>
                    <w:t>固态</w:t>
                  </w:r>
                </w:p>
              </w:tc>
              <w:tc>
                <w:tcPr>
                  <w:tcW w:w="1004" w:type="dxa"/>
                  <w:vAlign w:val="center"/>
                </w:tcPr>
                <w:p>
                  <w:pPr>
                    <w:pStyle w:val="27"/>
                    <w:jc w:val="center"/>
                    <w:rPr>
                      <w:rFonts w:eastAsia="宋体" w:cs="Times New Roman"/>
                      <w:kern w:val="0"/>
                      <w:szCs w:val="21"/>
                    </w:rPr>
                  </w:pPr>
                  <w:r>
                    <w:rPr>
                      <w:rFonts w:hint="eastAsia" w:eastAsia="宋体" w:cs="Times New Roman"/>
                      <w:kern w:val="0"/>
                      <w:szCs w:val="21"/>
                    </w:rPr>
                    <w:t>300</w:t>
                  </w:r>
                  <w:r>
                    <w:rPr>
                      <w:rFonts w:eastAsia="宋体" w:cs="Times New Roman"/>
                      <w:kern w:val="0"/>
                      <w:szCs w:val="21"/>
                    </w:rPr>
                    <w:t>t/a</w:t>
                  </w:r>
                </w:p>
              </w:tc>
              <w:tc>
                <w:tcPr>
                  <w:tcW w:w="1313" w:type="dxa"/>
                  <w:vAlign w:val="center"/>
                </w:tcPr>
                <w:p>
                  <w:pPr>
                    <w:pStyle w:val="27"/>
                    <w:jc w:val="center"/>
                    <w:rPr>
                      <w:rFonts w:eastAsia="宋体" w:cs="Times New Roman"/>
                      <w:kern w:val="0"/>
                      <w:szCs w:val="21"/>
                    </w:rPr>
                  </w:pPr>
                  <w:r>
                    <w:rPr>
                      <w:rFonts w:eastAsia="宋体" w:cs="Times New Roman"/>
                      <w:spacing w:val="-1"/>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51"/>
                    <w:jc w:val="center"/>
                    <w:rPr>
                      <w:rFonts w:ascii="Times New Roman" w:cs="Times New Roman"/>
                      <w:color w:val="auto"/>
                      <w:sz w:val="21"/>
                      <w:szCs w:val="21"/>
                    </w:rPr>
                  </w:pPr>
                  <w:r>
                    <w:rPr>
                      <w:rFonts w:hint="eastAsia" w:ascii="Times New Roman" w:cs="Times New Roman"/>
                      <w:color w:val="auto"/>
                      <w:sz w:val="21"/>
                      <w:szCs w:val="21"/>
                    </w:rPr>
                    <w:t>除尘装置粉尘</w:t>
                  </w:r>
                </w:p>
              </w:tc>
              <w:tc>
                <w:tcPr>
                  <w:tcW w:w="797" w:type="dxa"/>
                  <w:vAlign w:val="center"/>
                </w:tcPr>
                <w:p>
                  <w:pPr>
                    <w:pStyle w:val="27"/>
                    <w:jc w:val="center"/>
                    <w:rPr>
                      <w:rFonts w:eastAsia="宋体" w:cs="Times New Roman"/>
                      <w:kern w:val="0"/>
                      <w:szCs w:val="21"/>
                    </w:rPr>
                  </w:pPr>
                  <w:r>
                    <w:rPr>
                      <w:rFonts w:hint="eastAsia" w:eastAsia="宋体" w:cs="Times New Roman"/>
                      <w:kern w:val="0"/>
                      <w:szCs w:val="21"/>
                    </w:rPr>
                    <w:t>除尘</w:t>
                  </w:r>
                </w:p>
              </w:tc>
              <w:tc>
                <w:tcPr>
                  <w:tcW w:w="873" w:type="dxa"/>
                  <w:vAlign w:val="center"/>
                </w:tcPr>
                <w:p>
                  <w:pPr>
                    <w:pStyle w:val="27"/>
                    <w:jc w:val="center"/>
                    <w:rPr>
                      <w:rFonts w:eastAsia="宋体" w:cs="Times New Roman"/>
                      <w:kern w:val="0"/>
                      <w:szCs w:val="21"/>
                    </w:rPr>
                  </w:pPr>
                  <w:r>
                    <w:rPr>
                      <w:rFonts w:hint="eastAsia" w:eastAsia="宋体" w:cs="Times New Roman"/>
                      <w:kern w:val="0"/>
                      <w:szCs w:val="21"/>
                    </w:rPr>
                    <w:t>一般固废</w:t>
                  </w:r>
                </w:p>
              </w:tc>
              <w:tc>
                <w:tcPr>
                  <w:tcW w:w="1311" w:type="dxa"/>
                  <w:vAlign w:val="center"/>
                </w:tcPr>
                <w:p>
                  <w:pPr>
                    <w:pStyle w:val="58"/>
                    <w:kinsoku w:val="0"/>
                    <w:overflowPunct w:val="0"/>
                    <w:spacing w:line="240" w:lineRule="auto"/>
                    <w:ind w:firstLine="0"/>
                    <w:contextualSpacing/>
                    <w:jc w:val="center"/>
                    <w:rPr>
                      <w:rFonts w:ascii="Times New Roman" w:hAnsi="Times New Roman"/>
                      <w:spacing w:val="-1"/>
                      <w:sz w:val="21"/>
                      <w:szCs w:val="21"/>
                    </w:rPr>
                  </w:pPr>
                  <w:r>
                    <w:rPr>
                      <w:rFonts w:ascii="Times New Roman" w:hAnsi="Times New Roman"/>
                      <w:spacing w:val="-1"/>
                      <w:sz w:val="21"/>
                      <w:szCs w:val="21"/>
                    </w:rPr>
                    <w:t>工业粉尘</w:t>
                  </w:r>
                </w:p>
                <w:p>
                  <w:pPr>
                    <w:pStyle w:val="27"/>
                    <w:jc w:val="center"/>
                    <w:rPr>
                      <w:rFonts w:eastAsia="宋体" w:cs="Times New Roman"/>
                      <w:kern w:val="0"/>
                      <w:szCs w:val="21"/>
                    </w:rPr>
                  </w:pPr>
                  <w:r>
                    <w:rPr>
                      <w:rFonts w:eastAsia="宋体" w:cs="Times New Roman"/>
                      <w:spacing w:val="-1"/>
                      <w:szCs w:val="21"/>
                    </w:rPr>
                    <w:t>30</w:t>
                  </w:r>
                  <w:r>
                    <w:rPr>
                      <w:rFonts w:hint="eastAsia" w:eastAsia="宋体" w:cs="Times New Roman"/>
                      <w:spacing w:val="-1"/>
                      <w:szCs w:val="21"/>
                    </w:rPr>
                    <w:t>9</w:t>
                  </w:r>
                  <w:r>
                    <w:rPr>
                      <w:rFonts w:eastAsia="宋体" w:cs="Times New Roman"/>
                      <w:spacing w:val="-1"/>
                      <w:szCs w:val="21"/>
                    </w:rPr>
                    <w:t>-001-66</w:t>
                  </w:r>
                </w:p>
              </w:tc>
              <w:tc>
                <w:tcPr>
                  <w:tcW w:w="626" w:type="dxa"/>
                  <w:vAlign w:val="center"/>
                </w:tcPr>
                <w:p>
                  <w:pPr>
                    <w:pStyle w:val="27"/>
                    <w:jc w:val="center"/>
                    <w:rPr>
                      <w:rFonts w:eastAsia="宋体" w:cs="Times New Roman"/>
                      <w:kern w:val="0"/>
                      <w:szCs w:val="21"/>
                    </w:rPr>
                  </w:pPr>
                  <w:r>
                    <w:rPr>
                      <w:rFonts w:eastAsia="宋体" w:cs="Times New Roman"/>
                      <w:spacing w:val="-1"/>
                      <w:szCs w:val="21"/>
                    </w:rPr>
                    <w:t>/</w:t>
                  </w:r>
                </w:p>
              </w:tc>
              <w:tc>
                <w:tcPr>
                  <w:tcW w:w="745" w:type="dxa"/>
                  <w:vAlign w:val="center"/>
                </w:tcPr>
                <w:p>
                  <w:pPr>
                    <w:pStyle w:val="27"/>
                    <w:jc w:val="center"/>
                    <w:rPr>
                      <w:rFonts w:eastAsia="宋体" w:cs="Times New Roman"/>
                      <w:kern w:val="0"/>
                      <w:szCs w:val="21"/>
                    </w:rPr>
                  </w:pPr>
                  <w:r>
                    <w:rPr>
                      <w:rFonts w:hint="eastAsia" w:eastAsia="宋体" w:cs="Times New Roman"/>
                      <w:kern w:val="0"/>
                      <w:szCs w:val="21"/>
                    </w:rPr>
                    <w:t>固态</w:t>
                  </w:r>
                </w:p>
              </w:tc>
              <w:tc>
                <w:tcPr>
                  <w:tcW w:w="1004" w:type="dxa"/>
                  <w:vAlign w:val="center"/>
                </w:tcPr>
                <w:p>
                  <w:pPr>
                    <w:pStyle w:val="27"/>
                    <w:jc w:val="center"/>
                    <w:rPr>
                      <w:rFonts w:eastAsia="宋体" w:cs="Times New Roman"/>
                      <w:kern w:val="0"/>
                      <w:szCs w:val="21"/>
                    </w:rPr>
                  </w:pPr>
                  <w:r>
                    <w:rPr>
                      <w:rFonts w:hint="eastAsia" w:eastAsia="宋体" w:cs="Times New Roman"/>
                      <w:kern w:val="0"/>
                      <w:szCs w:val="21"/>
                    </w:rPr>
                    <w:t>405.27</w:t>
                  </w:r>
                  <w:r>
                    <w:rPr>
                      <w:rFonts w:eastAsia="宋体" w:cs="Times New Roman"/>
                      <w:kern w:val="0"/>
                      <w:szCs w:val="21"/>
                    </w:rPr>
                    <w:t>t/a</w:t>
                  </w:r>
                </w:p>
              </w:tc>
              <w:tc>
                <w:tcPr>
                  <w:tcW w:w="1313" w:type="dxa"/>
                  <w:vAlign w:val="center"/>
                </w:tcPr>
                <w:p>
                  <w:pPr>
                    <w:pStyle w:val="27"/>
                    <w:jc w:val="center"/>
                    <w:rPr>
                      <w:rFonts w:eastAsia="宋体" w:cs="Times New Roman"/>
                      <w:kern w:val="0"/>
                      <w:szCs w:val="21"/>
                    </w:rPr>
                  </w:pPr>
                  <w:r>
                    <w:rPr>
                      <w:rFonts w:hint="eastAsia" w:eastAsia="宋体" w:cs="Times New Roman"/>
                      <w:kern w:val="0"/>
                      <w:szCs w:val="21"/>
                    </w:rPr>
                    <w:t>回用</w:t>
                  </w:r>
                  <w:r>
                    <w:rPr>
                      <w:rFonts w:eastAsia="宋体" w:cs="Times New Roman"/>
                      <w:spacing w:val="-1"/>
                      <w:szCs w:val="21"/>
                    </w:rPr>
                    <w:t>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27"/>
                    <w:jc w:val="center"/>
                    <w:rPr>
                      <w:rFonts w:eastAsia="宋体" w:cs="Times New Roman"/>
                      <w:kern w:val="0"/>
                      <w:szCs w:val="21"/>
                    </w:rPr>
                  </w:pPr>
                  <w:r>
                    <w:rPr>
                      <w:rFonts w:hint="eastAsia" w:eastAsia="宋体" w:cs="Times New Roman"/>
                      <w:kern w:val="0"/>
                      <w:szCs w:val="21"/>
                    </w:rPr>
                    <w:t>沉淀池泥沙</w:t>
                  </w:r>
                </w:p>
              </w:tc>
              <w:tc>
                <w:tcPr>
                  <w:tcW w:w="797" w:type="dxa"/>
                  <w:vAlign w:val="center"/>
                </w:tcPr>
                <w:p>
                  <w:pPr>
                    <w:pStyle w:val="27"/>
                    <w:jc w:val="center"/>
                    <w:rPr>
                      <w:rFonts w:eastAsia="宋体" w:cs="Times New Roman"/>
                      <w:kern w:val="0"/>
                      <w:szCs w:val="21"/>
                    </w:rPr>
                  </w:pPr>
                  <w:r>
                    <w:rPr>
                      <w:rFonts w:hint="eastAsia" w:eastAsia="宋体" w:cs="Times New Roman"/>
                      <w:kern w:val="0"/>
                      <w:szCs w:val="21"/>
                    </w:rPr>
                    <w:t>沉淀池</w:t>
                  </w:r>
                </w:p>
              </w:tc>
              <w:tc>
                <w:tcPr>
                  <w:tcW w:w="873" w:type="dxa"/>
                  <w:vAlign w:val="center"/>
                </w:tcPr>
                <w:p>
                  <w:pPr>
                    <w:pStyle w:val="27"/>
                    <w:jc w:val="center"/>
                    <w:rPr>
                      <w:rFonts w:eastAsia="宋体" w:cs="Times New Roman"/>
                      <w:kern w:val="0"/>
                      <w:szCs w:val="21"/>
                    </w:rPr>
                  </w:pPr>
                  <w:r>
                    <w:rPr>
                      <w:rFonts w:hint="eastAsia" w:eastAsia="宋体" w:cs="Times New Roman"/>
                      <w:kern w:val="0"/>
                      <w:szCs w:val="21"/>
                    </w:rPr>
                    <w:t>一般固废</w:t>
                  </w:r>
                </w:p>
              </w:tc>
              <w:tc>
                <w:tcPr>
                  <w:tcW w:w="1311" w:type="dxa"/>
                  <w:vAlign w:val="center"/>
                </w:tcPr>
                <w:p>
                  <w:pPr>
                    <w:pStyle w:val="27"/>
                    <w:jc w:val="center"/>
                    <w:rPr>
                      <w:rFonts w:eastAsia="宋体" w:cs="Times New Roman"/>
                      <w:kern w:val="0"/>
                      <w:szCs w:val="21"/>
                    </w:rPr>
                  </w:pPr>
                  <w:r>
                    <w:rPr>
                      <w:rFonts w:eastAsia="宋体" w:cs="Times New Roman"/>
                      <w:spacing w:val="-1"/>
                      <w:szCs w:val="21"/>
                    </w:rPr>
                    <w:t>其他废物30</w:t>
                  </w:r>
                  <w:r>
                    <w:rPr>
                      <w:rFonts w:hint="eastAsia" w:eastAsia="宋体" w:cs="Times New Roman"/>
                      <w:spacing w:val="-1"/>
                      <w:szCs w:val="21"/>
                    </w:rPr>
                    <w:t>9</w:t>
                  </w:r>
                  <w:r>
                    <w:rPr>
                      <w:rFonts w:eastAsia="宋体" w:cs="Times New Roman"/>
                      <w:spacing w:val="-1"/>
                      <w:szCs w:val="21"/>
                    </w:rPr>
                    <w:t>-001-99</w:t>
                  </w:r>
                </w:p>
              </w:tc>
              <w:tc>
                <w:tcPr>
                  <w:tcW w:w="626" w:type="dxa"/>
                  <w:vAlign w:val="center"/>
                </w:tcPr>
                <w:p>
                  <w:pPr>
                    <w:pStyle w:val="27"/>
                    <w:jc w:val="center"/>
                    <w:rPr>
                      <w:rFonts w:eastAsia="宋体" w:cs="Times New Roman"/>
                      <w:kern w:val="0"/>
                      <w:szCs w:val="21"/>
                    </w:rPr>
                  </w:pPr>
                  <w:r>
                    <w:rPr>
                      <w:rFonts w:eastAsia="宋体" w:cs="Times New Roman"/>
                      <w:spacing w:val="-1"/>
                      <w:szCs w:val="21"/>
                    </w:rPr>
                    <w:t>/</w:t>
                  </w:r>
                </w:p>
              </w:tc>
              <w:tc>
                <w:tcPr>
                  <w:tcW w:w="745" w:type="dxa"/>
                  <w:vAlign w:val="center"/>
                </w:tcPr>
                <w:p>
                  <w:pPr>
                    <w:pStyle w:val="27"/>
                    <w:jc w:val="center"/>
                    <w:rPr>
                      <w:rFonts w:eastAsia="宋体" w:cs="Times New Roman"/>
                      <w:kern w:val="0"/>
                      <w:szCs w:val="21"/>
                    </w:rPr>
                  </w:pPr>
                  <w:r>
                    <w:rPr>
                      <w:rFonts w:hint="eastAsia" w:eastAsia="宋体" w:cs="Times New Roman"/>
                      <w:kern w:val="0"/>
                      <w:szCs w:val="21"/>
                    </w:rPr>
                    <w:t>固态</w:t>
                  </w:r>
                </w:p>
              </w:tc>
              <w:tc>
                <w:tcPr>
                  <w:tcW w:w="1004" w:type="dxa"/>
                  <w:vAlign w:val="center"/>
                </w:tcPr>
                <w:p>
                  <w:pPr>
                    <w:pStyle w:val="27"/>
                    <w:jc w:val="center"/>
                    <w:rPr>
                      <w:rFonts w:eastAsia="宋体" w:cs="Times New Roman"/>
                      <w:kern w:val="0"/>
                      <w:szCs w:val="21"/>
                    </w:rPr>
                  </w:pPr>
                  <w:r>
                    <w:rPr>
                      <w:rFonts w:hint="eastAsia" w:eastAsia="宋体" w:cs="Times New Roman"/>
                      <w:kern w:val="0"/>
                      <w:szCs w:val="21"/>
                    </w:rPr>
                    <w:t>5</w:t>
                  </w:r>
                  <w:r>
                    <w:rPr>
                      <w:rFonts w:eastAsia="宋体" w:cs="Times New Roman"/>
                      <w:kern w:val="0"/>
                      <w:szCs w:val="21"/>
                    </w:rPr>
                    <w:t>t/a</w:t>
                  </w:r>
                </w:p>
              </w:tc>
              <w:tc>
                <w:tcPr>
                  <w:tcW w:w="1313" w:type="dxa"/>
                  <w:vAlign w:val="center"/>
                </w:tcPr>
                <w:p>
                  <w:pPr>
                    <w:pStyle w:val="27"/>
                    <w:jc w:val="center"/>
                    <w:rPr>
                      <w:rFonts w:eastAsia="宋体" w:cs="Times New Roman"/>
                      <w:kern w:val="0"/>
                      <w:szCs w:val="21"/>
                    </w:rPr>
                  </w:pPr>
                  <w:r>
                    <w:rPr>
                      <w:rFonts w:hint="eastAsia" w:eastAsia="宋体" w:cs="Times New Roman"/>
                      <w:spacing w:val="-1"/>
                      <w:szCs w:val="21"/>
                    </w:rPr>
                    <w:t>运送至垃圾填埋场填埋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27"/>
                    <w:jc w:val="center"/>
                    <w:rPr>
                      <w:rFonts w:eastAsia="宋体" w:cs="Times New Roman"/>
                      <w:szCs w:val="21"/>
                    </w:rPr>
                  </w:pPr>
                  <w:r>
                    <w:rPr>
                      <w:rFonts w:hint="eastAsia" w:eastAsia="宋体" w:cs="Times New Roman"/>
                      <w:szCs w:val="21"/>
                    </w:rPr>
                    <w:t>废机油</w:t>
                  </w:r>
                </w:p>
              </w:tc>
              <w:tc>
                <w:tcPr>
                  <w:tcW w:w="797" w:type="dxa"/>
                  <w:vMerge w:val="restart"/>
                  <w:vAlign w:val="center"/>
                </w:tcPr>
                <w:p>
                  <w:pPr>
                    <w:pStyle w:val="27"/>
                    <w:jc w:val="center"/>
                    <w:rPr>
                      <w:rFonts w:eastAsia="宋体" w:cs="Times New Roman"/>
                      <w:kern w:val="0"/>
                      <w:szCs w:val="21"/>
                    </w:rPr>
                  </w:pPr>
                  <w:r>
                    <w:rPr>
                      <w:rFonts w:hint="eastAsia" w:eastAsia="宋体" w:cs="Times New Roman"/>
                      <w:kern w:val="0"/>
                      <w:szCs w:val="21"/>
                    </w:rPr>
                    <w:t>设备保养</w:t>
                  </w:r>
                </w:p>
              </w:tc>
              <w:tc>
                <w:tcPr>
                  <w:tcW w:w="873" w:type="dxa"/>
                  <w:vAlign w:val="center"/>
                </w:tcPr>
                <w:p>
                  <w:pPr>
                    <w:pStyle w:val="27"/>
                    <w:jc w:val="center"/>
                    <w:rPr>
                      <w:rFonts w:eastAsia="宋体" w:cs="Times New Roman"/>
                      <w:szCs w:val="21"/>
                    </w:rPr>
                  </w:pPr>
                  <w:r>
                    <w:rPr>
                      <w:rFonts w:hint="eastAsia" w:eastAsia="宋体" w:cs="Times New Roman"/>
                      <w:szCs w:val="21"/>
                    </w:rPr>
                    <w:t>危险废物</w:t>
                  </w:r>
                </w:p>
              </w:tc>
              <w:tc>
                <w:tcPr>
                  <w:tcW w:w="1311" w:type="dxa"/>
                  <w:vAlign w:val="center"/>
                </w:tcPr>
                <w:p>
                  <w:pPr>
                    <w:pStyle w:val="27"/>
                    <w:jc w:val="center"/>
                    <w:rPr>
                      <w:rFonts w:eastAsia="宋体" w:cs="Times New Roman"/>
                      <w:szCs w:val="21"/>
                    </w:rPr>
                  </w:pPr>
                  <w:r>
                    <w:rPr>
                      <w:rFonts w:eastAsia="宋体" w:cs="Times New Roman"/>
                      <w:szCs w:val="21"/>
                    </w:rPr>
                    <w:t>HW08 900-214-08</w:t>
                  </w:r>
                </w:p>
              </w:tc>
              <w:tc>
                <w:tcPr>
                  <w:tcW w:w="626" w:type="dxa"/>
                  <w:vAlign w:val="center"/>
                </w:tcPr>
                <w:p>
                  <w:pPr>
                    <w:pStyle w:val="27"/>
                    <w:jc w:val="center"/>
                    <w:rPr>
                      <w:rFonts w:eastAsia="宋体" w:cs="Times New Roman"/>
                      <w:szCs w:val="21"/>
                    </w:rPr>
                  </w:pPr>
                  <w:r>
                    <w:rPr>
                      <w:rFonts w:hint="eastAsia" w:eastAsia="宋体" w:cs="Times New Roman"/>
                      <w:szCs w:val="21"/>
                    </w:rPr>
                    <w:t>T，I</w:t>
                  </w:r>
                </w:p>
              </w:tc>
              <w:tc>
                <w:tcPr>
                  <w:tcW w:w="745" w:type="dxa"/>
                  <w:vAlign w:val="center"/>
                </w:tcPr>
                <w:p>
                  <w:pPr>
                    <w:pStyle w:val="27"/>
                    <w:jc w:val="center"/>
                    <w:rPr>
                      <w:rFonts w:eastAsia="宋体" w:cs="Times New Roman"/>
                      <w:szCs w:val="21"/>
                    </w:rPr>
                  </w:pPr>
                  <w:r>
                    <w:rPr>
                      <w:rFonts w:eastAsia="宋体" w:cs="Times New Roman"/>
                      <w:szCs w:val="21"/>
                    </w:rPr>
                    <w:t>液态</w:t>
                  </w:r>
                </w:p>
              </w:tc>
              <w:tc>
                <w:tcPr>
                  <w:tcW w:w="1004" w:type="dxa"/>
                  <w:vAlign w:val="center"/>
                </w:tcPr>
                <w:p>
                  <w:pPr>
                    <w:pStyle w:val="27"/>
                    <w:jc w:val="center"/>
                    <w:rPr>
                      <w:rFonts w:eastAsia="宋体" w:cs="Times New Roman"/>
                      <w:szCs w:val="21"/>
                    </w:rPr>
                  </w:pPr>
                  <w:r>
                    <w:rPr>
                      <w:rFonts w:hint="eastAsia" w:eastAsia="宋体" w:cs="Times New Roman"/>
                      <w:szCs w:val="21"/>
                    </w:rPr>
                    <w:t>0</w:t>
                  </w:r>
                  <w:r>
                    <w:rPr>
                      <w:rFonts w:eastAsia="宋体" w:cs="Times New Roman"/>
                      <w:szCs w:val="21"/>
                    </w:rPr>
                    <w:t>.05t/a</w:t>
                  </w:r>
                </w:p>
              </w:tc>
              <w:tc>
                <w:tcPr>
                  <w:tcW w:w="1313" w:type="dxa"/>
                  <w:vMerge w:val="restart"/>
                  <w:vAlign w:val="center"/>
                </w:tcPr>
                <w:p>
                  <w:pPr>
                    <w:pStyle w:val="27"/>
                    <w:jc w:val="center"/>
                    <w:rPr>
                      <w:rFonts w:eastAsia="宋体" w:cs="Times New Roman"/>
                      <w:spacing w:val="-1"/>
                      <w:szCs w:val="21"/>
                    </w:rPr>
                  </w:pPr>
                  <w:r>
                    <w:rPr>
                      <w:rFonts w:hint="eastAsia" w:eastAsia="宋体" w:cs="Times New Roman"/>
                      <w:spacing w:val="-1"/>
                      <w:szCs w:val="21"/>
                    </w:rPr>
                    <w:t>危险废物暂存柜暂存委托有资质单位处置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27"/>
                    <w:jc w:val="center"/>
                    <w:rPr>
                      <w:rFonts w:eastAsia="宋体" w:cs="Times New Roman"/>
                      <w:szCs w:val="21"/>
                    </w:rPr>
                  </w:pPr>
                  <w:r>
                    <w:rPr>
                      <w:rFonts w:hint="eastAsia" w:eastAsia="宋体" w:cs="Times New Roman"/>
                      <w:szCs w:val="21"/>
                    </w:rPr>
                    <w:t>废油桶</w:t>
                  </w:r>
                </w:p>
              </w:tc>
              <w:tc>
                <w:tcPr>
                  <w:tcW w:w="797" w:type="dxa"/>
                  <w:vMerge w:val="continue"/>
                  <w:vAlign w:val="center"/>
                </w:tcPr>
                <w:p>
                  <w:pPr>
                    <w:pStyle w:val="27"/>
                    <w:jc w:val="center"/>
                    <w:rPr>
                      <w:rFonts w:eastAsia="宋体" w:cs="Times New Roman"/>
                      <w:kern w:val="0"/>
                      <w:szCs w:val="21"/>
                    </w:rPr>
                  </w:pPr>
                </w:p>
              </w:tc>
              <w:tc>
                <w:tcPr>
                  <w:tcW w:w="873" w:type="dxa"/>
                  <w:vAlign w:val="center"/>
                </w:tcPr>
                <w:p>
                  <w:pPr>
                    <w:pStyle w:val="27"/>
                    <w:jc w:val="center"/>
                    <w:rPr>
                      <w:rFonts w:eastAsia="宋体" w:cs="Times New Roman"/>
                      <w:szCs w:val="21"/>
                    </w:rPr>
                  </w:pPr>
                  <w:r>
                    <w:rPr>
                      <w:rFonts w:hint="eastAsia" w:eastAsia="宋体" w:cs="Times New Roman"/>
                      <w:szCs w:val="21"/>
                    </w:rPr>
                    <w:t>危险废物</w:t>
                  </w:r>
                </w:p>
              </w:tc>
              <w:tc>
                <w:tcPr>
                  <w:tcW w:w="1311" w:type="dxa"/>
                  <w:vAlign w:val="center"/>
                </w:tcPr>
                <w:p>
                  <w:pPr>
                    <w:pStyle w:val="27"/>
                    <w:jc w:val="center"/>
                    <w:rPr>
                      <w:rFonts w:eastAsia="宋体" w:cs="Times New Roman"/>
                      <w:szCs w:val="21"/>
                    </w:rPr>
                  </w:pPr>
                  <w:r>
                    <w:rPr>
                      <w:rFonts w:eastAsia="宋体" w:cs="Times New Roman"/>
                      <w:szCs w:val="21"/>
                    </w:rPr>
                    <w:t>HW49 900-041-49</w:t>
                  </w:r>
                </w:p>
              </w:tc>
              <w:tc>
                <w:tcPr>
                  <w:tcW w:w="626" w:type="dxa"/>
                  <w:vAlign w:val="center"/>
                </w:tcPr>
                <w:p>
                  <w:pPr>
                    <w:pStyle w:val="27"/>
                    <w:jc w:val="center"/>
                    <w:rPr>
                      <w:rFonts w:eastAsia="宋体" w:cs="Times New Roman"/>
                      <w:szCs w:val="21"/>
                    </w:rPr>
                  </w:pPr>
                  <w:r>
                    <w:rPr>
                      <w:rFonts w:eastAsia="宋体" w:cs="Times New Roman"/>
                      <w:szCs w:val="21"/>
                    </w:rPr>
                    <w:t>T/In</w:t>
                  </w:r>
                </w:p>
              </w:tc>
              <w:tc>
                <w:tcPr>
                  <w:tcW w:w="745" w:type="dxa"/>
                  <w:vAlign w:val="center"/>
                </w:tcPr>
                <w:p>
                  <w:pPr>
                    <w:pStyle w:val="27"/>
                    <w:jc w:val="center"/>
                    <w:rPr>
                      <w:rFonts w:eastAsia="宋体" w:cs="Times New Roman"/>
                      <w:szCs w:val="21"/>
                    </w:rPr>
                  </w:pPr>
                  <w:r>
                    <w:rPr>
                      <w:rFonts w:eastAsia="宋体" w:cs="Times New Roman"/>
                      <w:szCs w:val="21"/>
                    </w:rPr>
                    <w:t>固态</w:t>
                  </w:r>
                </w:p>
              </w:tc>
              <w:tc>
                <w:tcPr>
                  <w:tcW w:w="1004" w:type="dxa"/>
                  <w:vAlign w:val="center"/>
                </w:tcPr>
                <w:p>
                  <w:pPr>
                    <w:pStyle w:val="27"/>
                    <w:jc w:val="center"/>
                    <w:rPr>
                      <w:rFonts w:eastAsia="宋体" w:cs="Times New Roman"/>
                      <w:szCs w:val="21"/>
                    </w:rPr>
                  </w:pPr>
                  <w:r>
                    <w:rPr>
                      <w:rFonts w:hint="eastAsia" w:eastAsia="宋体" w:cs="Times New Roman"/>
                      <w:szCs w:val="21"/>
                    </w:rPr>
                    <w:t>0</w:t>
                  </w:r>
                  <w:r>
                    <w:rPr>
                      <w:rFonts w:eastAsia="宋体" w:cs="Times New Roman"/>
                      <w:szCs w:val="21"/>
                    </w:rPr>
                    <w:t>.005t/a</w:t>
                  </w:r>
                </w:p>
              </w:tc>
              <w:tc>
                <w:tcPr>
                  <w:tcW w:w="1313" w:type="dxa"/>
                  <w:vMerge w:val="continue"/>
                  <w:vAlign w:val="center"/>
                </w:tcPr>
                <w:p>
                  <w:pPr>
                    <w:pStyle w:val="27"/>
                    <w:jc w:val="center"/>
                    <w:rPr>
                      <w:rFonts w:eastAsia="宋体" w:cs="Times New Roman"/>
                      <w:spacing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27"/>
                    <w:jc w:val="center"/>
                    <w:rPr>
                      <w:rFonts w:eastAsia="宋体" w:cs="Times New Roman"/>
                      <w:szCs w:val="21"/>
                    </w:rPr>
                  </w:pPr>
                  <w:r>
                    <w:rPr>
                      <w:rFonts w:hint="eastAsia" w:eastAsia="宋体" w:cs="Times New Roman"/>
                      <w:szCs w:val="21"/>
                    </w:rPr>
                    <w:t>废棉纱及手套</w:t>
                  </w:r>
                </w:p>
              </w:tc>
              <w:tc>
                <w:tcPr>
                  <w:tcW w:w="797" w:type="dxa"/>
                  <w:vMerge w:val="continue"/>
                  <w:vAlign w:val="center"/>
                </w:tcPr>
                <w:p>
                  <w:pPr>
                    <w:pStyle w:val="27"/>
                    <w:jc w:val="center"/>
                    <w:rPr>
                      <w:rFonts w:eastAsia="宋体" w:cs="Times New Roman"/>
                      <w:kern w:val="0"/>
                      <w:szCs w:val="21"/>
                    </w:rPr>
                  </w:pPr>
                </w:p>
              </w:tc>
              <w:tc>
                <w:tcPr>
                  <w:tcW w:w="873" w:type="dxa"/>
                  <w:vAlign w:val="center"/>
                </w:tcPr>
                <w:p>
                  <w:pPr>
                    <w:pStyle w:val="27"/>
                    <w:jc w:val="center"/>
                    <w:rPr>
                      <w:rFonts w:eastAsia="宋体" w:cs="Times New Roman"/>
                      <w:szCs w:val="21"/>
                    </w:rPr>
                  </w:pPr>
                  <w:r>
                    <w:rPr>
                      <w:rFonts w:hint="eastAsia" w:eastAsia="宋体" w:cs="Times New Roman"/>
                      <w:szCs w:val="21"/>
                    </w:rPr>
                    <w:t>危险废物</w:t>
                  </w:r>
                </w:p>
              </w:tc>
              <w:tc>
                <w:tcPr>
                  <w:tcW w:w="1311" w:type="dxa"/>
                  <w:vAlign w:val="center"/>
                </w:tcPr>
                <w:p>
                  <w:pPr>
                    <w:pStyle w:val="27"/>
                    <w:jc w:val="center"/>
                    <w:rPr>
                      <w:rFonts w:eastAsia="宋体" w:cs="Times New Roman"/>
                      <w:szCs w:val="21"/>
                    </w:rPr>
                  </w:pPr>
                  <w:r>
                    <w:rPr>
                      <w:rFonts w:eastAsia="宋体" w:cs="Times New Roman"/>
                      <w:szCs w:val="21"/>
                    </w:rPr>
                    <w:t>HW49 900-041-49</w:t>
                  </w:r>
                </w:p>
              </w:tc>
              <w:tc>
                <w:tcPr>
                  <w:tcW w:w="626" w:type="dxa"/>
                  <w:vAlign w:val="center"/>
                </w:tcPr>
                <w:p>
                  <w:pPr>
                    <w:pStyle w:val="27"/>
                    <w:jc w:val="center"/>
                    <w:rPr>
                      <w:rFonts w:eastAsia="宋体" w:cs="Times New Roman"/>
                      <w:szCs w:val="21"/>
                    </w:rPr>
                  </w:pPr>
                  <w:r>
                    <w:rPr>
                      <w:rFonts w:eastAsia="宋体" w:cs="Times New Roman"/>
                      <w:szCs w:val="21"/>
                    </w:rPr>
                    <w:t>T/In</w:t>
                  </w:r>
                </w:p>
              </w:tc>
              <w:tc>
                <w:tcPr>
                  <w:tcW w:w="745" w:type="dxa"/>
                  <w:vAlign w:val="center"/>
                </w:tcPr>
                <w:p>
                  <w:pPr>
                    <w:pStyle w:val="27"/>
                    <w:jc w:val="center"/>
                    <w:rPr>
                      <w:rFonts w:eastAsia="宋体" w:cs="Times New Roman"/>
                      <w:szCs w:val="21"/>
                    </w:rPr>
                  </w:pPr>
                  <w:r>
                    <w:rPr>
                      <w:rFonts w:eastAsia="宋体" w:cs="Times New Roman"/>
                      <w:szCs w:val="21"/>
                    </w:rPr>
                    <w:t>固态</w:t>
                  </w:r>
                </w:p>
              </w:tc>
              <w:tc>
                <w:tcPr>
                  <w:tcW w:w="1004" w:type="dxa"/>
                  <w:vAlign w:val="center"/>
                </w:tcPr>
                <w:p>
                  <w:pPr>
                    <w:pStyle w:val="27"/>
                    <w:jc w:val="center"/>
                    <w:rPr>
                      <w:rFonts w:eastAsia="宋体" w:cs="Times New Roman"/>
                      <w:szCs w:val="21"/>
                    </w:rPr>
                  </w:pPr>
                  <w:r>
                    <w:rPr>
                      <w:rFonts w:hint="eastAsia" w:eastAsia="宋体" w:cs="Times New Roman"/>
                      <w:szCs w:val="21"/>
                    </w:rPr>
                    <w:t>0</w:t>
                  </w:r>
                  <w:r>
                    <w:rPr>
                      <w:rFonts w:eastAsia="宋体" w:cs="Times New Roman"/>
                      <w:szCs w:val="21"/>
                    </w:rPr>
                    <w:t>.005t/a</w:t>
                  </w:r>
                </w:p>
              </w:tc>
              <w:tc>
                <w:tcPr>
                  <w:tcW w:w="1313" w:type="dxa"/>
                  <w:vMerge w:val="continue"/>
                  <w:vAlign w:val="center"/>
                </w:tcPr>
                <w:p>
                  <w:pPr>
                    <w:pStyle w:val="27"/>
                    <w:jc w:val="center"/>
                    <w:rPr>
                      <w:rFonts w:eastAsia="宋体" w:cs="Times New Roman"/>
                      <w:spacing w:val="-1"/>
                      <w:szCs w:val="21"/>
                    </w:rPr>
                  </w:pPr>
                </w:p>
              </w:tc>
            </w:tr>
          </w:tbl>
          <w:p>
            <w:pPr>
              <w:ind w:firstLine="480" w:firstLineChars="200"/>
              <w:rPr>
                <w:rFonts w:eastAsia="宋体" w:cs="Times New Roman"/>
                <w:kern w:val="0"/>
                <w:szCs w:val="20"/>
              </w:rPr>
            </w:pPr>
            <w:r>
              <w:rPr>
                <w:rFonts w:hint="eastAsia" w:eastAsia="宋体" w:cs="Times New Roman"/>
                <w:kern w:val="0"/>
                <w:szCs w:val="20"/>
              </w:rPr>
              <w:t>（1）生活垃圾</w:t>
            </w:r>
          </w:p>
          <w:p>
            <w:pPr>
              <w:ind w:firstLine="480" w:firstLineChars="200"/>
              <w:rPr>
                <w:rFonts w:eastAsia="宋体" w:cs="Times New Roman"/>
                <w:kern w:val="0"/>
                <w:szCs w:val="20"/>
              </w:rPr>
            </w:pPr>
            <w:r>
              <w:rPr>
                <w:rFonts w:hint="eastAsia" w:eastAsia="宋体" w:cs="Times New Roman"/>
                <w:kern w:val="0"/>
                <w:szCs w:val="20"/>
              </w:rPr>
              <w:t>①职工生活垃圾</w:t>
            </w:r>
          </w:p>
          <w:p>
            <w:pPr>
              <w:ind w:firstLine="480" w:firstLineChars="200"/>
              <w:rPr>
                <w:rFonts w:eastAsia="宋体" w:cs="Times New Roman"/>
                <w:kern w:val="0"/>
                <w:szCs w:val="20"/>
              </w:rPr>
            </w:pPr>
            <w:r>
              <w:rPr>
                <w:rFonts w:hint="eastAsia" w:eastAsia="宋体" w:cs="Times New Roman"/>
                <w:kern w:val="0"/>
                <w:szCs w:val="20"/>
              </w:rPr>
              <w:t>项目员工</w:t>
            </w:r>
            <w:r>
              <w:rPr>
                <w:rFonts w:eastAsia="宋体" w:cs="Times New Roman"/>
                <w:kern w:val="0"/>
                <w:szCs w:val="20"/>
              </w:rPr>
              <w:t>2</w:t>
            </w:r>
            <w:r>
              <w:rPr>
                <w:rFonts w:hint="eastAsia" w:eastAsia="宋体" w:cs="Times New Roman"/>
                <w:kern w:val="0"/>
                <w:szCs w:val="20"/>
              </w:rPr>
              <w:t>0人，均不在厂区食宿，每人每天生活垃圾产生量按0.5kg/人·d计算，年工作30</w:t>
            </w:r>
            <w:r>
              <w:rPr>
                <w:rFonts w:eastAsia="宋体" w:cs="Times New Roman"/>
                <w:kern w:val="0"/>
                <w:szCs w:val="20"/>
              </w:rPr>
              <w:t>0</w:t>
            </w:r>
            <w:r>
              <w:rPr>
                <w:rFonts w:hint="eastAsia" w:eastAsia="宋体" w:cs="Times New Roman"/>
                <w:kern w:val="0"/>
                <w:szCs w:val="20"/>
              </w:rPr>
              <w:t>天，则产生垃圾量为3.0t/a，采用生活垃圾分类收集桶收集后交由环卫部门外运处置。</w:t>
            </w:r>
          </w:p>
          <w:p>
            <w:pPr>
              <w:ind w:firstLine="480" w:firstLineChars="200"/>
              <w:rPr>
                <w:rFonts w:eastAsia="宋体" w:cs="Times New Roman"/>
                <w:kern w:val="0"/>
                <w:szCs w:val="20"/>
              </w:rPr>
            </w:pPr>
            <w:r>
              <w:rPr>
                <w:rFonts w:hint="eastAsia" w:eastAsia="宋体" w:cs="Times New Roman"/>
                <w:kern w:val="0"/>
                <w:szCs w:val="20"/>
              </w:rPr>
              <w:t>（2）一般工业固体废物</w:t>
            </w:r>
          </w:p>
          <w:p>
            <w:pPr>
              <w:ind w:firstLine="480" w:firstLineChars="200"/>
              <w:rPr>
                <w:rFonts w:eastAsia="宋体" w:cs="Times New Roman"/>
              </w:rPr>
            </w:pPr>
            <w:r>
              <w:rPr>
                <w:rFonts w:hint="eastAsia" w:eastAsia="宋体" w:cs="Times New Roman"/>
              </w:rPr>
              <w:t>①不合格物料</w:t>
            </w:r>
          </w:p>
          <w:p>
            <w:pPr>
              <w:ind w:firstLine="480" w:firstLineChars="200"/>
              <w:rPr>
                <w:rFonts w:eastAsia="宋体" w:cs="Times New Roman"/>
              </w:rPr>
            </w:pPr>
            <w:r>
              <w:rPr>
                <w:rFonts w:hint="eastAsia" w:ascii="宋体" w:hAnsi="宋体" w:eastAsia="宋体" w:cs="宋体"/>
              </w:rPr>
              <w:t>物料经过破碎筛分</w:t>
            </w:r>
            <w:r>
              <w:rPr>
                <w:rFonts w:eastAsia="宋体" w:cs="Times New Roman"/>
              </w:rPr>
              <w:t>后，合格的方可进行加工，</w:t>
            </w:r>
            <w:r>
              <w:rPr>
                <w:rFonts w:hint="eastAsia" w:eastAsia="宋体" w:cs="Times New Roman"/>
              </w:rPr>
              <w:t>不合格的物料需重新破碎，</w:t>
            </w:r>
            <w:r>
              <w:rPr>
                <w:rFonts w:eastAsia="宋体" w:cs="Times New Roman"/>
              </w:rPr>
              <w:t>根据企业提供的资料不合格物料约占总物料的0.1%，约为</w:t>
            </w:r>
            <w:r>
              <w:rPr>
                <w:rFonts w:hint="eastAsia" w:eastAsia="宋体" w:cs="Times New Roman"/>
              </w:rPr>
              <w:t>3</w:t>
            </w:r>
            <w:r>
              <w:rPr>
                <w:rFonts w:eastAsia="宋体" w:cs="Times New Roman"/>
              </w:rPr>
              <w:t>00t/a，</w:t>
            </w:r>
            <w:r>
              <w:rPr>
                <w:rFonts w:hint="eastAsia" w:eastAsia="宋体" w:cs="Times New Roman"/>
              </w:rPr>
              <w:t>收集后回用于生产工序</w:t>
            </w:r>
            <w:r>
              <w:rPr>
                <w:rFonts w:eastAsia="宋体" w:cs="Times New Roman"/>
              </w:rPr>
              <w:t>。</w:t>
            </w:r>
          </w:p>
          <w:p>
            <w:pPr>
              <w:ind w:firstLine="480" w:firstLineChars="200"/>
              <w:rPr>
                <w:rFonts w:eastAsia="宋体" w:cs="Times New Roman"/>
              </w:rPr>
            </w:pPr>
            <w:r>
              <w:rPr>
                <w:rFonts w:hint="eastAsia" w:eastAsia="宋体" w:cs="Times New Roman"/>
              </w:rPr>
              <w:t>②</w:t>
            </w:r>
            <w:r>
              <w:rPr>
                <w:rFonts w:eastAsia="宋体" w:cs="Times New Roman"/>
              </w:rPr>
              <w:t>除尘装置收集的粉尘</w:t>
            </w:r>
          </w:p>
          <w:p>
            <w:pPr>
              <w:ind w:firstLine="480" w:firstLineChars="200"/>
              <w:rPr>
                <w:rFonts w:eastAsia="宋体" w:cs="Times New Roman"/>
              </w:rPr>
            </w:pPr>
            <w:r>
              <w:rPr>
                <w:rFonts w:eastAsia="宋体" w:cs="Times New Roman"/>
              </w:rPr>
              <w:t>本项目物料输送、破碎、研磨</w:t>
            </w:r>
            <w:r>
              <w:rPr>
                <w:rFonts w:hint="eastAsia" w:eastAsia="宋体" w:cs="Times New Roman"/>
              </w:rPr>
              <w:t>分选</w:t>
            </w:r>
            <w:r>
              <w:rPr>
                <w:rFonts w:eastAsia="宋体" w:cs="Times New Roman"/>
              </w:rPr>
              <w:t>等过程均设置有除尘装置，根据工程分析，本项目除尘装置收集的粉尘约为</w:t>
            </w:r>
            <w:r>
              <w:rPr>
                <w:rFonts w:hint="eastAsia" w:eastAsia="宋体" w:cs="Times New Roman"/>
              </w:rPr>
              <w:t>405.27</w:t>
            </w:r>
            <w:r>
              <w:rPr>
                <w:rFonts w:eastAsia="宋体" w:cs="Times New Roman"/>
              </w:rPr>
              <w:t>t/a，</w:t>
            </w:r>
            <w:r>
              <w:rPr>
                <w:rFonts w:hint="eastAsia" w:eastAsia="宋体" w:cs="Times New Roman"/>
              </w:rPr>
              <w:t>可回用于生产</w:t>
            </w:r>
            <w:r>
              <w:rPr>
                <w:rFonts w:eastAsia="宋体" w:cs="Times New Roman"/>
              </w:rPr>
              <w:t>。</w:t>
            </w:r>
          </w:p>
          <w:p>
            <w:pPr>
              <w:ind w:firstLine="480" w:firstLineChars="200"/>
              <w:rPr>
                <w:rFonts w:eastAsia="宋体" w:cs="Times New Roman"/>
              </w:rPr>
            </w:pPr>
            <w:r>
              <w:rPr>
                <w:rFonts w:hint="eastAsia" w:eastAsia="宋体" w:cs="Times New Roman"/>
              </w:rPr>
              <w:t>③沉淀池泥沙</w:t>
            </w:r>
          </w:p>
          <w:p>
            <w:pPr>
              <w:ind w:firstLine="480" w:firstLineChars="200"/>
              <w:rPr>
                <w:rFonts w:eastAsia="宋体" w:cs="Times New Roman"/>
              </w:rPr>
            </w:pPr>
            <w:r>
              <w:rPr>
                <w:rFonts w:hint="eastAsia" w:eastAsia="宋体" w:cs="Times New Roman"/>
              </w:rPr>
              <w:t>根据企业提供的资料，本项目车辆冲洗沉淀池下方沉淀的泥沙沉渣5</w:t>
            </w:r>
            <w:r>
              <w:rPr>
                <w:rFonts w:eastAsia="宋体" w:cs="Times New Roman"/>
              </w:rPr>
              <w:t>t/a</w:t>
            </w:r>
            <w:r>
              <w:rPr>
                <w:rFonts w:hint="eastAsia" w:eastAsia="宋体" w:cs="Times New Roman"/>
              </w:rPr>
              <w:t>，经收集后运送至垃圾填埋场填埋。</w:t>
            </w:r>
          </w:p>
          <w:p>
            <w:pPr>
              <w:ind w:firstLine="240" w:firstLineChars="100"/>
              <w:rPr>
                <w:rFonts w:eastAsia="宋体" w:cs="Times New Roman"/>
                <w:kern w:val="0"/>
                <w:szCs w:val="20"/>
              </w:rPr>
            </w:pPr>
            <w:r>
              <w:rPr>
                <w:rFonts w:hint="eastAsia" w:eastAsia="宋体" w:cs="Times New Roman"/>
                <w:kern w:val="0"/>
                <w:szCs w:val="20"/>
              </w:rPr>
              <w:t>（3）危险废物</w:t>
            </w:r>
          </w:p>
          <w:p>
            <w:pPr>
              <w:ind w:firstLine="480" w:firstLineChars="200"/>
              <w:rPr>
                <w:rFonts w:ascii="宋体" w:hAnsi="宋体" w:eastAsia="宋体" w:cs="宋体"/>
              </w:rPr>
            </w:pPr>
            <w:r>
              <w:rPr>
                <w:rFonts w:hint="eastAsia" w:ascii="宋体" w:hAnsi="宋体" w:eastAsia="宋体" w:cs="宋体"/>
              </w:rPr>
              <w:t>①废机油</w:t>
            </w:r>
          </w:p>
          <w:p>
            <w:pPr>
              <w:ind w:firstLine="480" w:firstLineChars="200"/>
              <w:rPr>
                <w:rFonts w:eastAsia="宋体" w:cs="Times New Roman"/>
              </w:rPr>
            </w:pPr>
            <w:r>
              <w:rPr>
                <w:rFonts w:eastAsia="宋体" w:cs="Times New Roman"/>
              </w:rPr>
              <w:t>项目设备运行及加工过程中只对设备进行简单的保养，根据建设单位提供资料，废机油产生量约为0.05t/a。废机油属于《国家危险废物名录》（2021年版）规定的“HW08废矿物油与含矿物油废物”类危险废物，废物代码为900-217-08，环评要求收集后交由有资质单位处置。</w:t>
            </w:r>
          </w:p>
          <w:p>
            <w:pPr>
              <w:ind w:firstLine="480" w:firstLineChars="200"/>
              <w:rPr>
                <w:rFonts w:eastAsia="宋体" w:cs="Times New Roman"/>
              </w:rPr>
            </w:pPr>
            <w:r>
              <w:rPr>
                <w:rFonts w:hint="eastAsia" w:ascii="宋体" w:hAnsi="宋体" w:eastAsia="宋体" w:cs="宋体"/>
              </w:rPr>
              <w:t>②</w:t>
            </w:r>
            <w:r>
              <w:rPr>
                <w:rFonts w:eastAsia="宋体" w:cs="Times New Roman"/>
              </w:rPr>
              <w:t>废油桶</w:t>
            </w:r>
          </w:p>
          <w:p>
            <w:pPr>
              <w:ind w:firstLine="480" w:firstLineChars="200"/>
              <w:rPr>
                <w:rFonts w:eastAsia="宋体" w:cs="Times New Roman"/>
              </w:rPr>
            </w:pPr>
            <w:r>
              <w:rPr>
                <w:rFonts w:eastAsia="宋体" w:cs="Times New Roman"/>
              </w:rPr>
              <w:t>本项目生产过程中产生的新增废机油桶约5个/年，每个桶约1kg，共约0.005t/a。废机油桶属于《国家危险废物名录》规定的“HW49其他废物”类危险废物，废物代码为900-041-49，环评要求收集后交由有资质单位处置。</w:t>
            </w:r>
          </w:p>
          <w:p>
            <w:pPr>
              <w:ind w:firstLine="480" w:firstLineChars="200"/>
              <w:rPr>
                <w:rFonts w:eastAsia="宋体" w:cs="Times New Roman"/>
              </w:rPr>
            </w:pPr>
            <w:r>
              <w:rPr>
                <w:rFonts w:hint="eastAsia" w:ascii="宋体" w:hAnsi="宋体" w:eastAsia="宋体" w:cs="宋体"/>
              </w:rPr>
              <w:t>③</w:t>
            </w:r>
            <w:r>
              <w:rPr>
                <w:rFonts w:eastAsia="宋体" w:cs="Times New Roman"/>
              </w:rPr>
              <w:t>废棉纱和含油手套</w:t>
            </w:r>
          </w:p>
          <w:p>
            <w:pPr>
              <w:ind w:firstLine="480" w:firstLineChars="200"/>
              <w:rPr>
                <w:rFonts w:eastAsia="宋体" w:cs="Times New Roman"/>
                <w:kern w:val="0"/>
                <w:szCs w:val="20"/>
              </w:rPr>
            </w:pPr>
            <w:r>
              <w:rPr>
                <w:rFonts w:eastAsia="宋体" w:cs="Times New Roman"/>
              </w:rPr>
              <w:t>机修过程中擦拭机油产生的废棉纱和含油手套约0.005t/a，属于《国家危险废物名录》（2021年版）规定的“HW49其他废物”类危险废物，废物代码为900-041-49，环评要求收集后交由有资质的单位处理</w:t>
            </w:r>
            <w:r>
              <w:rPr>
                <w:rFonts w:hint="eastAsia" w:eastAsia="宋体" w:cs="Times New Roman"/>
                <w:kern w:val="0"/>
                <w:szCs w:val="20"/>
              </w:rPr>
              <w:t>。</w:t>
            </w:r>
          </w:p>
          <w:p>
            <w:pPr>
              <w:ind w:firstLine="480"/>
              <w:rPr>
                <w:rFonts w:eastAsia="宋体" w:cs="Times New Roman"/>
                <w:b/>
                <w:bCs/>
                <w:kern w:val="0"/>
                <w:szCs w:val="20"/>
              </w:rPr>
            </w:pPr>
            <w:r>
              <w:rPr>
                <w:rFonts w:eastAsia="宋体" w:cs="Times New Roman"/>
                <w:b/>
                <w:bCs/>
                <w:kern w:val="0"/>
                <w:szCs w:val="24"/>
              </w:rPr>
              <w:t>2、固体废物环境保护措施</w:t>
            </w:r>
          </w:p>
          <w:p>
            <w:pPr>
              <w:adjustRightInd w:val="0"/>
              <w:ind w:firstLine="480" w:firstLineChars="200"/>
              <w:rPr>
                <w:rFonts w:eastAsia="宋体" w:cs="Times New Roman"/>
                <w:kern w:val="0"/>
                <w:szCs w:val="20"/>
              </w:rPr>
            </w:pPr>
            <w:r>
              <w:rPr>
                <w:rFonts w:eastAsia="宋体" w:cs="Times New Roman"/>
                <w:kern w:val="0"/>
                <w:szCs w:val="24"/>
              </w:rPr>
              <w:t>（1）生活垃圾：应对生活垃圾进行分类收集，分为：可回收物、餐厨垃圾、有害垃圾、其他垃圾。分类收集后由环卫部门定期清运。</w:t>
            </w:r>
          </w:p>
          <w:p>
            <w:pPr>
              <w:adjustRightInd w:val="0"/>
              <w:ind w:firstLine="480" w:firstLineChars="200"/>
              <w:rPr>
                <w:rFonts w:eastAsia="宋体" w:cs="Times New Roman"/>
                <w:kern w:val="0"/>
                <w:szCs w:val="20"/>
              </w:rPr>
            </w:pPr>
            <w:r>
              <w:rPr>
                <w:rFonts w:eastAsia="宋体" w:cs="Times New Roman"/>
                <w:kern w:val="0"/>
                <w:szCs w:val="24"/>
              </w:rPr>
              <w:t>（2）一般</w:t>
            </w:r>
            <w:r>
              <w:rPr>
                <w:rFonts w:hint="eastAsia" w:eastAsia="宋体" w:cs="Times New Roman"/>
                <w:kern w:val="0"/>
                <w:szCs w:val="24"/>
              </w:rPr>
              <w:t>工业</w:t>
            </w:r>
            <w:r>
              <w:rPr>
                <w:rFonts w:eastAsia="宋体" w:cs="Times New Roman"/>
                <w:kern w:val="0"/>
                <w:szCs w:val="24"/>
              </w:rPr>
              <w:t>固体废物：本项目一般固体废物的处置应执行《一般工业固体废物贮存和填埋污染控制标准》(GB18599-2020)。</w:t>
            </w:r>
          </w:p>
          <w:p>
            <w:pPr>
              <w:adjustRightInd w:val="0"/>
              <w:ind w:firstLine="480" w:firstLineChars="200"/>
              <w:rPr>
                <w:rFonts w:eastAsia="宋体" w:cs="Times New Roman"/>
                <w:szCs w:val="24"/>
              </w:rPr>
            </w:pPr>
            <w:r>
              <w:rPr>
                <w:rFonts w:eastAsia="宋体" w:cs="Times New Roman"/>
                <w:szCs w:val="24"/>
              </w:rPr>
              <w:t>（3）危险废物：</w:t>
            </w:r>
            <w:r>
              <w:rPr>
                <w:rFonts w:hint="eastAsia" w:eastAsia="宋体" w:cs="Times New Roman"/>
              </w:rPr>
              <w:t>根据建设单位提供的资料及工程分析计算，本项目危险废物总贮存量小于300kg，故本项目产生的危险废物可存放于危险废物暂存柜中，无需设置危废暂存间。</w:t>
            </w:r>
            <w:r>
              <w:rPr>
                <w:rFonts w:hint="eastAsia" w:eastAsia="宋体" w:cs="Times New Roman"/>
                <w:szCs w:val="24"/>
              </w:rPr>
              <w:t>危废暂存柜的设置应按照《危险废物贮存污染控制标准》（GB18597-2001）及其修改单中的相关要求。危险废物贮存设施都必须按《环境保护图形标志-固体废物贮存（处置）场》（GB15562.2-1995）的规定，规范立标设置环保标识牌。加强管理防止发生意外事故，同时厂区范围内必须完善消防措施及加强管理</w:t>
            </w:r>
            <w:r>
              <w:rPr>
                <w:rFonts w:eastAsia="宋体" w:cs="Times New Roman"/>
                <w:szCs w:val="24"/>
              </w:rPr>
              <w:t>。</w:t>
            </w:r>
          </w:p>
          <w:p>
            <w:pPr>
              <w:adjustRightInd w:val="0"/>
              <w:ind w:firstLine="480" w:firstLineChars="200"/>
              <w:rPr>
                <w:rFonts w:eastAsia="宋体" w:cs="Times New Roman"/>
              </w:rPr>
            </w:pPr>
            <w:r>
              <w:rPr>
                <w:rFonts w:hint="eastAsia" w:eastAsia="宋体" w:cs="Times New Roman"/>
              </w:rPr>
              <w:t>危废暂存柜的设置要求如下：</w:t>
            </w:r>
          </w:p>
          <w:p>
            <w:pPr>
              <w:adjustRightInd w:val="0"/>
              <w:ind w:firstLine="480" w:firstLineChars="200"/>
              <w:rPr>
                <w:rFonts w:eastAsia="宋体" w:cs="Times New Roman"/>
              </w:rPr>
            </w:pPr>
            <w:r>
              <w:rPr>
                <w:rFonts w:hint="eastAsia" w:eastAsia="宋体" w:cs="Times New Roman"/>
              </w:rPr>
              <w:t>①各危险废物存放容器应满足相关标准，并张贴标签；</w:t>
            </w:r>
          </w:p>
          <w:p>
            <w:pPr>
              <w:adjustRightInd w:val="0"/>
              <w:ind w:firstLine="480" w:firstLineChars="200"/>
              <w:rPr>
                <w:rFonts w:eastAsia="宋体" w:cs="Times New Roman"/>
              </w:rPr>
            </w:pPr>
            <w:r>
              <w:rPr>
                <w:rFonts w:hint="eastAsia" w:eastAsia="宋体" w:cs="Times New Roman"/>
              </w:rPr>
              <w:t>②柜应设多个直径不小于30mm的排气孔；</w:t>
            </w:r>
          </w:p>
          <w:p>
            <w:pPr>
              <w:adjustRightInd w:val="0"/>
              <w:ind w:firstLine="480" w:firstLineChars="200"/>
              <w:rPr>
                <w:rFonts w:eastAsia="宋体" w:cs="Times New Roman"/>
              </w:rPr>
            </w:pPr>
            <w:r>
              <w:rPr>
                <w:rFonts w:hint="eastAsia" w:eastAsia="宋体" w:cs="Times New Roman"/>
              </w:rPr>
              <w:t>③不相容危险废物要分别存放或存放在不渗透间隔分开的区域内，每个部分都应有防漏裙角或储漏盘；</w:t>
            </w:r>
          </w:p>
          <w:p>
            <w:pPr>
              <w:adjustRightInd w:val="0"/>
              <w:ind w:firstLine="480" w:firstLineChars="200"/>
              <w:rPr>
                <w:rFonts w:eastAsia="宋体" w:cs="Times New Roman"/>
              </w:rPr>
            </w:pPr>
            <w:r>
              <w:rPr>
                <w:rFonts w:hint="eastAsia" w:eastAsia="宋体" w:cs="Times New Roman"/>
              </w:rPr>
              <w:t>④防漏裙角或储漏盘的材料要与危险废物相容。</w:t>
            </w:r>
          </w:p>
          <w:p>
            <w:pPr>
              <w:adjustRightInd w:val="0"/>
              <w:ind w:firstLine="480" w:firstLineChars="200"/>
              <w:rPr>
                <w:rFonts w:eastAsia="宋体" w:cs="Times New Roman"/>
                <w:kern w:val="0"/>
                <w:szCs w:val="24"/>
              </w:rPr>
            </w:pPr>
            <w:r>
              <w:rPr>
                <w:rFonts w:eastAsia="宋体" w:cs="Times New Roman"/>
                <w:kern w:val="0"/>
                <w:szCs w:val="24"/>
              </w:rPr>
              <w:t>综上所述，采取上述措施后，本项目固体废物处置能满足《一般工业固体废物贮存和填埋污染控制标准》(GB18599-2020)标准的要求，符合国家对固体废物处置的“减量化、资源化和无害化”的基本原则，处置率达100%，对周围环境的影响较小。</w:t>
            </w:r>
          </w:p>
          <w:p>
            <w:pPr>
              <w:ind w:firstLine="482" w:firstLineChars="200"/>
              <w:rPr>
                <w:rFonts w:eastAsia="宋体" w:cs="Times New Roman"/>
                <w:b/>
                <w:bCs/>
                <w:kern w:val="0"/>
                <w:szCs w:val="20"/>
              </w:rPr>
            </w:pPr>
            <w:r>
              <w:rPr>
                <w:rFonts w:hint="eastAsia" w:eastAsia="宋体" w:cs="Times New Roman"/>
                <w:b/>
                <w:bCs/>
                <w:kern w:val="0"/>
                <w:szCs w:val="20"/>
              </w:rPr>
              <w:t>（五）土壤和地下水环境影响分析</w:t>
            </w:r>
          </w:p>
          <w:p>
            <w:pPr>
              <w:ind w:firstLine="480" w:firstLineChars="200"/>
              <w:rPr>
                <w:rFonts w:eastAsia="宋体" w:cs="Times New Roman"/>
                <w:kern w:val="0"/>
                <w:szCs w:val="20"/>
              </w:rPr>
            </w:pPr>
            <w:r>
              <w:rPr>
                <w:rFonts w:hint="eastAsia" w:eastAsia="宋体" w:cs="Times New Roman"/>
                <w:kern w:val="0"/>
                <w:szCs w:val="20"/>
              </w:rPr>
              <w:t>本项目周边北侧为林地，中部为农田，产生的废气污染物可能通过大气沉降沉进入土壤。各类废水可能发生泄露，进入土壤、地下水环境造成污染。为防止项目对土壤及地下水环境的影响，提出以下土壤、地下水污染控制建议：</w:t>
            </w:r>
          </w:p>
          <w:p>
            <w:pPr>
              <w:ind w:firstLine="480" w:firstLineChars="200"/>
              <w:rPr>
                <w:rFonts w:eastAsia="宋体" w:cs="Times New Roman"/>
                <w:kern w:val="0"/>
                <w:szCs w:val="20"/>
              </w:rPr>
            </w:pPr>
            <w:r>
              <w:rPr>
                <w:rFonts w:hint="eastAsia" w:eastAsia="宋体" w:cs="Times New Roman"/>
                <w:kern w:val="0"/>
                <w:szCs w:val="20"/>
              </w:rPr>
              <w:t>（1）沉淀池、化粪池等各类池体需保证工程质量，做好严格的防渗处理，确保废水污染物不会出现渗漏现象；</w:t>
            </w:r>
          </w:p>
          <w:p>
            <w:pPr>
              <w:ind w:firstLine="480" w:firstLineChars="200"/>
              <w:rPr>
                <w:rFonts w:eastAsia="宋体" w:cs="Times New Roman"/>
                <w:kern w:val="0"/>
                <w:szCs w:val="20"/>
              </w:rPr>
            </w:pPr>
            <w:r>
              <w:rPr>
                <w:rFonts w:hint="eastAsia" w:eastAsia="宋体" w:cs="Times New Roman"/>
                <w:kern w:val="0"/>
                <w:szCs w:val="20"/>
              </w:rPr>
              <w:t>（2）危废暂存柜、各类池体等区域作为重点防渗区采取相应的防渗防漏措施（如加铺HDPE材料防渗膜，防渗系数&gt;1.0×10</w:t>
            </w:r>
            <w:r>
              <w:rPr>
                <w:rFonts w:hint="eastAsia" w:eastAsia="宋体" w:cs="Times New Roman"/>
                <w:kern w:val="0"/>
                <w:szCs w:val="20"/>
                <w:vertAlign w:val="superscript"/>
              </w:rPr>
              <w:t>-10</w:t>
            </w:r>
            <w:r>
              <w:rPr>
                <w:rFonts w:hint="eastAsia" w:eastAsia="宋体" w:cs="Times New Roman"/>
                <w:kern w:val="0"/>
                <w:szCs w:val="20"/>
              </w:rPr>
              <w:t>cm/s），避免对土壤甚至地下水造成二次污染；各生产车间、一般固废暂存区等区域作为一般防渗区，同样应采取相应的防渗漏设施；</w:t>
            </w:r>
          </w:p>
          <w:p>
            <w:pPr>
              <w:ind w:firstLine="480" w:firstLineChars="200"/>
              <w:rPr>
                <w:rFonts w:eastAsia="宋体" w:cs="Times New Roman"/>
                <w:kern w:val="0"/>
                <w:szCs w:val="20"/>
              </w:rPr>
            </w:pPr>
            <w:r>
              <w:rPr>
                <w:rFonts w:hint="eastAsia" w:eastAsia="宋体" w:cs="Times New Roman"/>
                <w:kern w:val="0"/>
                <w:szCs w:val="20"/>
              </w:rPr>
              <w:t>（3）场内应完善雨污分流设施，建设独立的排水渠，杜绝冲洗废水漫流、下渗进入土壤，造成土壤污染；</w:t>
            </w:r>
          </w:p>
          <w:p>
            <w:pPr>
              <w:ind w:firstLine="480" w:firstLineChars="200"/>
              <w:rPr>
                <w:rFonts w:eastAsia="宋体" w:cs="Times New Roman"/>
                <w:kern w:val="0"/>
                <w:szCs w:val="20"/>
              </w:rPr>
            </w:pPr>
            <w:r>
              <w:rPr>
                <w:rFonts w:hint="eastAsia" w:eastAsia="宋体" w:cs="Times New Roman"/>
                <w:kern w:val="0"/>
                <w:szCs w:val="20"/>
              </w:rPr>
              <w:t>（4）本次评价要求建设单位完善相关环保制度，定期巡视，检查设备运行状况与危废暂存柜，加强对污水处理设备的维护，防止渗漏事故发生；</w:t>
            </w:r>
          </w:p>
          <w:p>
            <w:pPr>
              <w:ind w:firstLine="480" w:firstLineChars="200"/>
              <w:rPr>
                <w:rFonts w:eastAsia="宋体" w:cs="Times New Roman"/>
                <w:kern w:val="0"/>
                <w:szCs w:val="20"/>
              </w:rPr>
            </w:pPr>
            <w:r>
              <w:rPr>
                <w:rFonts w:hint="eastAsia" w:eastAsia="宋体" w:cs="Times New Roman"/>
                <w:kern w:val="0"/>
                <w:szCs w:val="20"/>
              </w:rPr>
              <w:t>（5）落实并强化废气处理环保措施运行管理，定期对环保设施进行维护和保养；严格落实生产车间无组织废气排放控制措施，加强生产管理，降低无组织废气对土壤的影响；产生的固体废弃物应及时处理，尽可能减少厂内暂存时间。</w:t>
            </w:r>
          </w:p>
          <w:p>
            <w:pPr>
              <w:ind w:firstLine="480" w:firstLineChars="200"/>
              <w:rPr>
                <w:rFonts w:eastAsia="宋体" w:cs="Times New Roman"/>
                <w:kern w:val="0"/>
                <w:szCs w:val="20"/>
              </w:rPr>
            </w:pPr>
            <w:r>
              <w:rPr>
                <w:rFonts w:hint="eastAsia" w:eastAsia="宋体" w:cs="Times New Roman"/>
                <w:kern w:val="0"/>
                <w:szCs w:val="20"/>
              </w:rPr>
              <w:t>建设单位需针对土壤、地下水污染源都做出相应的防范措施，减轻因项目建设对土壤、地下水产生的影响。拟建项目在采取有效的防护措施后，不会对项目所在区域土壤及地下水环境产生明显影响。</w:t>
            </w:r>
          </w:p>
          <w:p>
            <w:pPr>
              <w:ind w:firstLine="241" w:firstLineChars="100"/>
              <w:rPr>
                <w:rFonts w:eastAsia="宋体" w:cs="Times New Roman"/>
                <w:b/>
                <w:bCs/>
              </w:rPr>
            </w:pPr>
            <w:r>
              <w:rPr>
                <w:rFonts w:eastAsia="宋体" w:cs="Times New Roman"/>
                <w:b/>
                <w:bCs/>
                <w:szCs w:val="24"/>
              </w:rPr>
              <w:t>（六）环境风险影响分析</w:t>
            </w:r>
          </w:p>
          <w:p>
            <w:pPr>
              <w:pStyle w:val="2"/>
              <w:ind w:firstLine="482" w:firstLineChars="200"/>
              <w:outlineLvl w:val="1"/>
              <w:rPr>
                <w:rFonts w:ascii="Times New Roman" w:hAnsi="Times New Roman" w:eastAsia="宋体" w:cs="Times New Roman"/>
                <w:kern w:val="0"/>
                <w:szCs w:val="20"/>
              </w:rPr>
            </w:pPr>
            <w:r>
              <w:rPr>
                <w:rFonts w:hint="eastAsia" w:ascii="Times New Roman" w:hAnsi="Times New Roman" w:eastAsia="宋体" w:cs="Times New Roman"/>
                <w:kern w:val="0"/>
                <w:szCs w:val="20"/>
              </w:rPr>
              <w:t>1、环境风险识别</w:t>
            </w:r>
          </w:p>
          <w:p>
            <w:pPr>
              <w:pStyle w:val="2"/>
              <w:ind w:firstLine="480" w:firstLineChars="200"/>
              <w:outlineLvl w:val="1"/>
              <w:rPr>
                <w:rFonts w:ascii="Times New Roman" w:hAnsi="Times New Roman" w:eastAsia="宋体" w:cs="Times New Roman"/>
                <w:b w:val="0"/>
                <w:bCs w:val="0"/>
                <w:kern w:val="0"/>
                <w:szCs w:val="20"/>
              </w:rPr>
            </w:pPr>
            <w:r>
              <w:rPr>
                <w:rFonts w:hint="eastAsia" w:ascii="Times New Roman" w:hAnsi="Times New Roman" w:eastAsia="宋体" w:cs="Times New Roman"/>
                <w:b w:val="0"/>
                <w:bCs w:val="0"/>
                <w:kern w:val="0"/>
                <w:szCs w:val="20"/>
              </w:rPr>
              <w:t>本项目运营期需对设备进行简单的检修，会用到少量的可燃危险化学品机油，产生少量的废机油。在储存和使用的过程中，如果管理操作不当或发生意外事故，存在着着火、泄露等事故风险。一旦发生这类事故，会对周围环境和人员的安全产生一定的隐患。</w:t>
            </w:r>
          </w:p>
          <w:p>
            <w:pPr>
              <w:pStyle w:val="28"/>
            </w:pPr>
            <w:r>
              <w:rPr>
                <w:rFonts w:hint="eastAsia"/>
              </w:rPr>
              <w:t>4</w:t>
            </w:r>
            <w:r>
              <w:t xml:space="preserve">-10  </w:t>
            </w:r>
            <w:r>
              <w:rPr>
                <w:rFonts w:hint="eastAsia"/>
              </w:rPr>
              <w:t>建设项目环境风险识别表</w:t>
            </w:r>
          </w:p>
          <w:tbl>
            <w:tblPr>
              <w:tblStyle w:val="21"/>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850"/>
              <w:gridCol w:w="850"/>
              <w:gridCol w:w="851"/>
              <w:gridCol w:w="709"/>
              <w:gridCol w:w="850"/>
              <w:gridCol w:w="1559"/>
              <w:gridCol w:w="121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pStyle w:val="27"/>
                    <w:jc w:val="center"/>
                    <w:rPr>
                      <w:rFonts w:eastAsia="宋体" w:cs="Times New Roman"/>
                      <w:szCs w:val="21"/>
                    </w:rPr>
                  </w:pPr>
                  <w:r>
                    <w:rPr>
                      <w:rFonts w:hint="eastAsia" w:eastAsia="宋体" w:cs="Times New Roman"/>
                      <w:szCs w:val="21"/>
                    </w:rPr>
                    <w:t>危险单元</w:t>
                  </w:r>
                </w:p>
              </w:tc>
              <w:tc>
                <w:tcPr>
                  <w:tcW w:w="563" w:type="pct"/>
                  <w:vAlign w:val="center"/>
                </w:tcPr>
                <w:p>
                  <w:pPr>
                    <w:pStyle w:val="27"/>
                    <w:jc w:val="center"/>
                    <w:rPr>
                      <w:rFonts w:eastAsia="宋体" w:cs="Times New Roman"/>
                      <w:szCs w:val="21"/>
                    </w:rPr>
                  </w:pPr>
                  <w:r>
                    <w:rPr>
                      <w:rFonts w:hint="eastAsia" w:eastAsia="宋体" w:cs="Times New Roman"/>
                      <w:szCs w:val="21"/>
                    </w:rPr>
                    <w:t>风险源</w:t>
                  </w:r>
                </w:p>
              </w:tc>
              <w:tc>
                <w:tcPr>
                  <w:tcW w:w="563" w:type="pct"/>
                  <w:vAlign w:val="center"/>
                </w:tcPr>
                <w:p>
                  <w:pPr>
                    <w:pStyle w:val="27"/>
                    <w:jc w:val="center"/>
                    <w:rPr>
                      <w:rFonts w:eastAsia="宋体" w:cs="Times New Roman"/>
                      <w:szCs w:val="21"/>
                    </w:rPr>
                  </w:pPr>
                  <w:r>
                    <w:rPr>
                      <w:rFonts w:hint="eastAsia" w:eastAsia="宋体" w:cs="Times New Roman"/>
                      <w:szCs w:val="21"/>
                    </w:rPr>
                    <w:t>主要危险物质</w:t>
                  </w:r>
                </w:p>
              </w:tc>
              <w:tc>
                <w:tcPr>
                  <w:tcW w:w="564" w:type="pct"/>
                  <w:vAlign w:val="center"/>
                </w:tcPr>
                <w:p>
                  <w:pPr>
                    <w:pStyle w:val="27"/>
                    <w:jc w:val="center"/>
                    <w:rPr>
                      <w:rFonts w:eastAsia="宋体" w:cs="Times New Roman"/>
                      <w:szCs w:val="21"/>
                    </w:rPr>
                  </w:pPr>
                  <w:r>
                    <w:rPr>
                      <w:rFonts w:hint="eastAsia" w:eastAsia="宋体" w:cs="Times New Roman"/>
                      <w:szCs w:val="21"/>
                    </w:rPr>
                    <w:t>最大储存量t/a</w:t>
                  </w:r>
                </w:p>
              </w:tc>
              <w:tc>
                <w:tcPr>
                  <w:tcW w:w="470" w:type="pct"/>
                  <w:vAlign w:val="center"/>
                </w:tcPr>
                <w:p>
                  <w:pPr>
                    <w:pStyle w:val="27"/>
                    <w:jc w:val="center"/>
                    <w:rPr>
                      <w:rFonts w:eastAsia="宋体" w:cs="Times New Roman"/>
                      <w:szCs w:val="21"/>
                    </w:rPr>
                  </w:pPr>
                  <w:r>
                    <w:rPr>
                      <w:rFonts w:hint="eastAsia" w:eastAsia="宋体" w:cs="Times New Roman"/>
                      <w:szCs w:val="21"/>
                    </w:rPr>
                    <w:t>临界量t/a</w:t>
                  </w:r>
                </w:p>
              </w:tc>
              <w:tc>
                <w:tcPr>
                  <w:tcW w:w="563" w:type="pct"/>
                  <w:vAlign w:val="center"/>
                </w:tcPr>
                <w:p>
                  <w:pPr>
                    <w:pStyle w:val="27"/>
                    <w:jc w:val="center"/>
                    <w:rPr>
                      <w:rFonts w:eastAsia="宋体" w:cs="Times New Roman"/>
                      <w:szCs w:val="21"/>
                    </w:rPr>
                  </w:pPr>
                  <w:r>
                    <w:rPr>
                      <w:rFonts w:hint="eastAsia" w:eastAsia="宋体" w:cs="Times New Roman"/>
                      <w:szCs w:val="21"/>
                    </w:rPr>
                    <w:t>环境风险</w:t>
                  </w:r>
                  <w:r>
                    <w:rPr>
                      <w:rFonts w:eastAsia="宋体" w:cs="Times New Roman"/>
                      <w:szCs w:val="21"/>
                    </w:rPr>
                    <w:t>类型</w:t>
                  </w:r>
                </w:p>
              </w:tc>
              <w:tc>
                <w:tcPr>
                  <w:tcW w:w="1033" w:type="pct"/>
                  <w:vAlign w:val="center"/>
                </w:tcPr>
                <w:p>
                  <w:pPr>
                    <w:pStyle w:val="27"/>
                    <w:jc w:val="center"/>
                    <w:rPr>
                      <w:rFonts w:eastAsia="宋体" w:cs="Times New Roman"/>
                      <w:szCs w:val="21"/>
                    </w:rPr>
                  </w:pPr>
                  <w:r>
                    <w:rPr>
                      <w:rFonts w:hint="eastAsia" w:eastAsia="宋体" w:cs="Times New Roman"/>
                      <w:szCs w:val="21"/>
                    </w:rPr>
                    <w:t>环境影响途径</w:t>
                  </w:r>
                </w:p>
              </w:tc>
              <w:tc>
                <w:tcPr>
                  <w:tcW w:w="808" w:type="pct"/>
                  <w:vAlign w:val="center"/>
                </w:tcPr>
                <w:p>
                  <w:pPr>
                    <w:pStyle w:val="27"/>
                    <w:jc w:val="center"/>
                    <w:rPr>
                      <w:rFonts w:eastAsia="宋体" w:cs="Times New Roman"/>
                      <w:szCs w:val="21"/>
                    </w:rPr>
                  </w:pPr>
                  <w:r>
                    <w:rPr>
                      <w:rFonts w:hint="eastAsia" w:eastAsia="宋体" w:cs="Times New Roman"/>
                      <w:szCs w:val="21"/>
                    </w:rPr>
                    <w:t>可能受影响的环境敏感目标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pStyle w:val="27"/>
                    <w:jc w:val="center"/>
                    <w:rPr>
                      <w:rFonts w:eastAsia="宋体" w:cs="Times New Roman"/>
                      <w:szCs w:val="21"/>
                    </w:rPr>
                  </w:pPr>
                  <w:r>
                    <w:rPr>
                      <w:rFonts w:hint="eastAsia" w:eastAsia="宋体" w:cs="Times New Roman"/>
                      <w:szCs w:val="21"/>
                    </w:rPr>
                    <w:t>厂区</w:t>
                  </w:r>
                </w:p>
              </w:tc>
              <w:tc>
                <w:tcPr>
                  <w:tcW w:w="563" w:type="pct"/>
                  <w:vAlign w:val="center"/>
                </w:tcPr>
                <w:p>
                  <w:pPr>
                    <w:pStyle w:val="27"/>
                    <w:jc w:val="center"/>
                    <w:rPr>
                      <w:rFonts w:eastAsia="宋体" w:cs="Times New Roman"/>
                      <w:szCs w:val="21"/>
                    </w:rPr>
                  </w:pPr>
                  <w:r>
                    <w:rPr>
                      <w:rFonts w:eastAsia="宋体" w:cs="Times New Roman"/>
                      <w:szCs w:val="21"/>
                    </w:rPr>
                    <w:t>原料库</w:t>
                  </w:r>
                </w:p>
              </w:tc>
              <w:tc>
                <w:tcPr>
                  <w:tcW w:w="563" w:type="pct"/>
                  <w:vAlign w:val="center"/>
                </w:tcPr>
                <w:p>
                  <w:pPr>
                    <w:pStyle w:val="27"/>
                    <w:jc w:val="center"/>
                    <w:rPr>
                      <w:rFonts w:eastAsia="宋体" w:cs="Times New Roman"/>
                      <w:szCs w:val="21"/>
                    </w:rPr>
                  </w:pPr>
                  <w:r>
                    <w:rPr>
                      <w:rFonts w:eastAsia="宋体" w:cs="Times New Roman"/>
                      <w:szCs w:val="21"/>
                    </w:rPr>
                    <w:t>机油</w:t>
                  </w:r>
                </w:p>
              </w:tc>
              <w:tc>
                <w:tcPr>
                  <w:tcW w:w="564" w:type="pct"/>
                  <w:vAlign w:val="center"/>
                </w:tcPr>
                <w:p>
                  <w:pPr>
                    <w:pStyle w:val="27"/>
                    <w:jc w:val="center"/>
                    <w:rPr>
                      <w:rFonts w:eastAsia="宋体" w:cs="Times New Roman"/>
                      <w:szCs w:val="21"/>
                    </w:rPr>
                  </w:pPr>
                  <w:r>
                    <w:rPr>
                      <w:rFonts w:hint="eastAsia" w:eastAsia="宋体" w:cs="Times New Roman"/>
                      <w:szCs w:val="21"/>
                    </w:rPr>
                    <w:t>0</w:t>
                  </w:r>
                  <w:r>
                    <w:rPr>
                      <w:rFonts w:eastAsia="宋体" w:cs="Times New Roman"/>
                      <w:szCs w:val="21"/>
                    </w:rPr>
                    <w:t>.05</w:t>
                  </w:r>
                </w:p>
              </w:tc>
              <w:tc>
                <w:tcPr>
                  <w:tcW w:w="470" w:type="pct"/>
                  <w:vAlign w:val="center"/>
                </w:tcPr>
                <w:p>
                  <w:pPr>
                    <w:pStyle w:val="27"/>
                    <w:jc w:val="center"/>
                    <w:rPr>
                      <w:rFonts w:eastAsia="宋体" w:cs="Times New Roman"/>
                      <w:szCs w:val="21"/>
                    </w:rPr>
                  </w:pPr>
                  <w:r>
                    <w:rPr>
                      <w:rFonts w:hint="eastAsia" w:eastAsia="宋体" w:cs="Times New Roman"/>
                      <w:szCs w:val="21"/>
                    </w:rPr>
                    <w:t>2</w:t>
                  </w:r>
                  <w:r>
                    <w:rPr>
                      <w:rFonts w:eastAsia="宋体" w:cs="Times New Roman"/>
                      <w:szCs w:val="21"/>
                    </w:rPr>
                    <w:t>500</w:t>
                  </w:r>
                </w:p>
              </w:tc>
              <w:tc>
                <w:tcPr>
                  <w:tcW w:w="563" w:type="pct"/>
                  <w:vAlign w:val="center"/>
                </w:tcPr>
                <w:p>
                  <w:pPr>
                    <w:pStyle w:val="27"/>
                    <w:jc w:val="center"/>
                    <w:rPr>
                      <w:rFonts w:eastAsia="宋体" w:cs="Times New Roman"/>
                      <w:szCs w:val="21"/>
                    </w:rPr>
                  </w:pPr>
                  <w:r>
                    <w:rPr>
                      <w:rFonts w:hint="eastAsia" w:eastAsia="宋体" w:cs="Times New Roman"/>
                      <w:szCs w:val="21"/>
                    </w:rPr>
                    <w:t>可燃、渗漏</w:t>
                  </w:r>
                </w:p>
              </w:tc>
              <w:tc>
                <w:tcPr>
                  <w:tcW w:w="1033" w:type="pct"/>
                  <w:vAlign w:val="center"/>
                </w:tcPr>
                <w:p>
                  <w:pPr>
                    <w:pStyle w:val="27"/>
                    <w:jc w:val="center"/>
                    <w:rPr>
                      <w:rFonts w:eastAsia="宋体" w:cs="Times New Roman"/>
                      <w:szCs w:val="21"/>
                    </w:rPr>
                  </w:pPr>
                  <w:r>
                    <w:rPr>
                      <w:rFonts w:hint="eastAsia" w:eastAsia="宋体" w:cs="Times New Roman"/>
                      <w:szCs w:val="21"/>
                    </w:rPr>
                    <w:t>大气、水、土壤</w:t>
                  </w:r>
                </w:p>
              </w:tc>
              <w:tc>
                <w:tcPr>
                  <w:tcW w:w="808" w:type="pct"/>
                  <w:vAlign w:val="center"/>
                </w:tcPr>
                <w:p>
                  <w:pPr>
                    <w:pStyle w:val="27"/>
                    <w:jc w:val="center"/>
                    <w:rPr>
                      <w:rFonts w:eastAsia="宋体" w:cs="Times New Roman"/>
                      <w:szCs w:val="21"/>
                    </w:rPr>
                  </w:pPr>
                  <w:r>
                    <w:rPr>
                      <w:rFonts w:hint="eastAsia" w:eastAsia="宋体" w:cs="Times New Roman"/>
                      <w:szCs w:val="21"/>
                    </w:rPr>
                    <w:t>职工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pStyle w:val="27"/>
                    <w:jc w:val="center"/>
                    <w:rPr>
                      <w:rFonts w:eastAsia="宋体" w:cs="Times New Roman"/>
                      <w:szCs w:val="21"/>
                    </w:rPr>
                  </w:pPr>
                  <w:r>
                    <w:rPr>
                      <w:rFonts w:hint="eastAsia" w:eastAsia="宋体" w:cs="Times New Roman"/>
                      <w:szCs w:val="21"/>
                    </w:rPr>
                    <w:t>厂区</w:t>
                  </w:r>
                </w:p>
              </w:tc>
              <w:tc>
                <w:tcPr>
                  <w:tcW w:w="563" w:type="pct"/>
                  <w:vAlign w:val="center"/>
                </w:tcPr>
                <w:p>
                  <w:pPr>
                    <w:pStyle w:val="27"/>
                    <w:jc w:val="center"/>
                    <w:rPr>
                      <w:rFonts w:eastAsia="宋体" w:cs="Times New Roman"/>
                      <w:szCs w:val="21"/>
                    </w:rPr>
                  </w:pPr>
                  <w:r>
                    <w:rPr>
                      <w:rFonts w:hint="eastAsia" w:eastAsia="宋体" w:cs="Times New Roman"/>
                      <w:szCs w:val="21"/>
                    </w:rPr>
                    <w:t>危废暂存柜</w:t>
                  </w:r>
                </w:p>
              </w:tc>
              <w:tc>
                <w:tcPr>
                  <w:tcW w:w="563" w:type="pct"/>
                  <w:vAlign w:val="center"/>
                </w:tcPr>
                <w:p>
                  <w:pPr>
                    <w:pStyle w:val="27"/>
                    <w:jc w:val="center"/>
                    <w:rPr>
                      <w:rFonts w:eastAsia="宋体" w:cs="Times New Roman"/>
                      <w:szCs w:val="21"/>
                    </w:rPr>
                  </w:pPr>
                  <w:r>
                    <w:rPr>
                      <w:rFonts w:hint="eastAsia" w:eastAsia="宋体" w:cs="Times New Roman"/>
                      <w:szCs w:val="21"/>
                    </w:rPr>
                    <w:t>废机油</w:t>
                  </w:r>
                </w:p>
              </w:tc>
              <w:tc>
                <w:tcPr>
                  <w:tcW w:w="564" w:type="pct"/>
                  <w:vAlign w:val="center"/>
                </w:tcPr>
                <w:p>
                  <w:pPr>
                    <w:pStyle w:val="27"/>
                    <w:jc w:val="center"/>
                    <w:rPr>
                      <w:rFonts w:eastAsia="宋体" w:cs="Times New Roman"/>
                      <w:szCs w:val="21"/>
                    </w:rPr>
                  </w:pPr>
                  <w:r>
                    <w:rPr>
                      <w:rFonts w:hint="eastAsia" w:eastAsia="宋体" w:cs="Times New Roman"/>
                      <w:szCs w:val="21"/>
                    </w:rPr>
                    <w:t>0</w:t>
                  </w:r>
                  <w:r>
                    <w:rPr>
                      <w:rFonts w:eastAsia="宋体" w:cs="Times New Roman"/>
                      <w:szCs w:val="21"/>
                    </w:rPr>
                    <w:t>.05</w:t>
                  </w:r>
                </w:p>
              </w:tc>
              <w:tc>
                <w:tcPr>
                  <w:tcW w:w="470" w:type="pct"/>
                  <w:vAlign w:val="center"/>
                </w:tcPr>
                <w:p>
                  <w:pPr>
                    <w:pStyle w:val="27"/>
                    <w:jc w:val="center"/>
                    <w:rPr>
                      <w:rFonts w:eastAsia="宋体" w:cs="Times New Roman"/>
                      <w:szCs w:val="21"/>
                    </w:rPr>
                  </w:pPr>
                  <w:r>
                    <w:rPr>
                      <w:rFonts w:hint="eastAsia" w:eastAsia="宋体" w:cs="Times New Roman"/>
                      <w:szCs w:val="21"/>
                    </w:rPr>
                    <w:t>2</w:t>
                  </w:r>
                  <w:r>
                    <w:rPr>
                      <w:rFonts w:eastAsia="宋体" w:cs="Times New Roman"/>
                      <w:szCs w:val="21"/>
                    </w:rPr>
                    <w:t>500</w:t>
                  </w:r>
                </w:p>
              </w:tc>
              <w:tc>
                <w:tcPr>
                  <w:tcW w:w="563" w:type="pct"/>
                  <w:vAlign w:val="center"/>
                </w:tcPr>
                <w:p>
                  <w:pPr>
                    <w:pStyle w:val="27"/>
                    <w:jc w:val="center"/>
                    <w:rPr>
                      <w:rFonts w:eastAsia="宋体" w:cs="Times New Roman"/>
                      <w:szCs w:val="21"/>
                    </w:rPr>
                  </w:pPr>
                  <w:r>
                    <w:rPr>
                      <w:rFonts w:hint="eastAsia" w:eastAsia="宋体" w:cs="Times New Roman"/>
                      <w:szCs w:val="21"/>
                    </w:rPr>
                    <w:t>可燃、渗漏</w:t>
                  </w:r>
                </w:p>
              </w:tc>
              <w:tc>
                <w:tcPr>
                  <w:tcW w:w="1033" w:type="pct"/>
                  <w:vAlign w:val="center"/>
                </w:tcPr>
                <w:p>
                  <w:pPr>
                    <w:pStyle w:val="27"/>
                    <w:jc w:val="center"/>
                    <w:rPr>
                      <w:rFonts w:eastAsia="宋体" w:cs="Times New Roman"/>
                      <w:szCs w:val="21"/>
                    </w:rPr>
                  </w:pPr>
                  <w:r>
                    <w:rPr>
                      <w:rFonts w:hint="eastAsia" w:eastAsia="宋体" w:cs="Times New Roman"/>
                      <w:szCs w:val="21"/>
                    </w:rPr>
                    <w:t>大气、水、土壤</w:t>
                  </w:r>
                </w:p>
              </w:tc>
              <w:tc>
                <w:tcPr>
                  <w:tcW w:w="808" w:type="pct"/>
                  <w:vAlign w:val="center"/>
                </w:tcPr>
                <w:p>
                  <w:pPr>
                    <w:pStyle w:val="27"/>
                    <w:jc w:val="center"/>
                    <w:rPr>
                      <w:rFonts w:eastAsia="宋体" w:cs="Times New Roman"/>
                      <w:szCs w:val="21"/>
                    </w:rPr>
                  </w:pPr>
                  <w:r>
                    <w:rPr>
                      <w:rFonts w:hint="eastAsia" w:eastAsia="宋体" w:cs="Times New Roman"/>
                      <w:szCs w:val="21"/>
                    </w:rPr>
                    <w:t>职工</w:t>
                  </w:r>
                </w:p>
              </w:tc>
            </w:tr>
          </w:tbl>
          <w:p>
            <w:pPr>
              <w:ind w:firstLine="482" w:firstLineChars="200"/>
              <w:rPr>
                <w:rFonts w:eastAsia="宋体" w:cs="Times New Roman"/>
                <w:b/>
                <w:bCs/>
              </w:rPr>
            </w:pPr>
            <w:r>
              <w:rPr>
                <w:rFonts w:eastAsia="宋体" w:cs="Times New Roman"/>
                <w:b/>
                <w:bCs/>
                <w:szCs w:val="24"/>
              </w:rPr>
              <w:t>2、环境风险分析</w:t>
            </w:r>
          </w:p>
          <w:p>
            <w:pPr>
              <w:ind w:firstLine="480" w:firstLineChars="200"/>
              <w:rPr>
                <w:rFonts w:eastAsia="宋体" w:cs="Times New Roman"/>
              </w:rPr>
            </w:pPr>
            <w:r>
              <w:rPr>
                <w:rFonts w:eastAsia="宋体" w:cs="Times New Roman"/>
                <w:szCs w:val="24"/>
              </w:rPr>
              <w:t>可能存在的风险为机油储存场所和危废暂存柜的废机油一旦遇到明火，如施工人员吸烟、厂区中有明火等，均可能导致火灾的发生，危害人身安全</w:t>
            </w:r>
            <w:r>
              <w:rPr>
                <w:rFonts w:hint="eastAsia" w:eastAsia="宋体" w:cs="Times New Roman"/>
                <w:szCs w:val="24"/>
              </w:rPr>
              <w:t>；</w:t>
            </w:r>
            <w:r>
              <w:rPr>
                <w:rFonts w:eastAsia="宋体" w:cs="Times New Roman"/>
                <w:szCs w:val="24"/>
              </w:rPr>
              <w:t>本项目环境风险类型主要为机油储存场所和危废暂存柜的废机油发生泄漏引起的火灾、爆炸等引起的伴生/次生污染物排放。</w:t>
            </w:r>
          </w:p>
          <w:p>
            <w:pPr>
              <w:ind w:firstLine="482" w:firstLineChars="200"/>
              <w:rPr>
                <w:rFonts w:eastAsia="宋体" w:cs="Times New Roman"/>
                <w:b/>
                <w:bCs/>
              </w:rPr>
            </w:pPr>
            <w:r>
              <w:rPr>
                <w:rFonts w:eastAsia="宋体" w:cs="Times New Roman"/>
                <w:b/>
                <w:bCs/>
                <w:szCs w:val="24"/>
              </w:rPr>
              <w:t>3、风险防范措施及应急措施</w:t>
            </w:r>
          </w:p>
          <w:p>
            <w:pPr>
              <w:ind w:firstLine="480" w:firstLineChars="200"/>
              <w:rPr>
                <w:rFonts w:eastAsia="宋体" w:cs="Times New Roman"/>
                <w:szCs w:val="24"/>
              </w:rPr>
            </w:pPr>
            <w:r>
              <w:rPr>
                <w:rFonts w:hint="eastAsia" w:ascii="宋体" w:hAnsi="宋体" w:eastAsia="宋体" w:cs="宋体"/>
                <w:szCs w:val="24"/>
              </w:rPr>
              <w:t>①</w:t>
            </w:r>
            <w:r>
              <w:rPr>
                <w:rFonts w:hint="eastAsia" w:eastAsia="宋体" w:cs="Times New Roman"/>
                <w:szCs w:val="24"/>
              </w:rPr>
              <w:t>针对油类物质，项目在生产过程中要一定注意通风，远离火花、明火、热源。厂区内应安装消防及火灾报警系统，并配套相应的消防设施。厂区总平面布置符合防范事故要求，有应急救援设施及救援通道、应急疏散及避难所。</w:t>
            </w:r>
          </w:p>
          <w:p>
            <w:pPr>
              <w:ind w:firstLine="480" w:firstLineChars="200"/>
              <w:rPr>
                <w:rFonts w:eastAsia="宋体" w:cs="Times New Roman"/>
                <w:szCs w:val="24"/>
              </w:rPr>
            </w:pPr>
            <w:r>
              <w:rPr>
                <w:rFonts w:hint="eastAsia" w:eastAsia="宋体" w:cs="Times New Roman"/>
                <w:szCs w:val="24"/>
              </w:rPr>
              <w:t>②</w:t>
            </w:r>
            <w:r>
              <w:rPr>
                <w:rFonts w:eastAsia="宋体" w:cs="Times New Roman"/>
                <w:szCs w:val="24"/>
              </w:rPr>
              <w:t>针对厂区环境风险，</w:t>
            </w:r>
            <w:r>
              <w:rPr>
                <w:rFonts w:hint="eastAsia" w:eastAsia="宋体" w:cs="Times New Roman"/>
                <w:szCs w:val="24"/>
              </w:rPr>
              <w:t>应加强风险管理</w:t>
            </w:r>
            <w:r>
              <w:rPr>
                <w:rFonts w:eastAsia="宋体" w:cs="Times New Roman"/>
                <w:szCs w:val="24"/>
              </w:rPr>
              <w:t>建设单位应编制突发环境事件应急预案，并报环保局备案，且及时修正应急预案并加强演练</w:t>
            </w:r>
            <w:r>
              <w:rPr>
                <w:rFonts w:hint="eastAsia" w:eastAsia="宋体" w:cs="Times New Roman"/>
                <w:szCs w:val="24"/>
              </w:rPr>
              <w:t>，目的是为了在发生风险事故时，能以最快的速度发挥最大的效能，有序的实施救援，尽快控制事态的发展，降低事故造成的危害，减少事故造成的损失</w:t>
            </w:r>
            <w:r>
              <w:rPr>
                <w:rFonts w:eastAsia="宋体" w:cs="Times New Roman"/>
                <w:szCs w:val="24"/>
              </w:rPr>
              <w:t>。综上所述，本项目不存在重大危险源，且涉及危险品性质及生产工艺简单，在采取本次评价提出的各项风险防范措施后，环境风险较小。</w:t>
            </w:r>
          </w:p>
          <w:p>
            <w:pPr>
              <w:rPr>
                <w:rFonts w:eastAsia="宋体" w:cs="Times New Roman"/>
                <w:b/>
                <w:bCs/>
              </w:rPr>
            </w:pPr>
            <w:r>
              <w:rPr>
                <w:rFonts w:hint="eastAsia" w:eastAsia="宋体" w:cs="Times New Roman"/>
                <w:b/>
                <w:bCs/>
              </w:rPr>
              <w:t>（七）环保投资</w:t>
            </w:r>
          </w:p>
          <w:p>
            <w:pPr>
              <w:ind w:firstLine="480" w:firstLineChars="200"/>
              <w:rPr>
                <w:rFonts w:eastAsia="宋体" w:cs="Times New Roman"/>
              </w:rPr>
            </w:pPr>
            <w:r>
              <w:rPr>
                <w:rFonts w:hint="eastAsia" w:eastAsia="宋体" w:cs="Times New Roman"/>
              </w:rPr>
              <w:t>本项目总投资2000万元，其中环保投资100万元，环保投资占总投资的比例为5%，环保投资估算清单见下表</w:t>
            </w:r>
          </w:p>
          <w:p>
            <w:pPr>
              <w:spacing w:line="240" w:lineRule="auto"/>
              <w:jc w:val="center"/>
              <w:rPr>
                <w:rFonts w:eastAsia="宋体" w:cs="宋体"/>
                <w:b/>
                <w:kern w:val="0"/>
                <w:sz w:val="21"/>
                <w:lang w:bidi="zh-CN"/>
              </w:rPr>
            </w:pPr>
            <w:r>
              <w:rPr>
                <w:rFonts w:hint="eastAsia" w:eastAsia="宋体" w:cs="宋体"/>
                <w:b/>
                <w:kern w:val="0"/>
                <w:sz w:val="21"/>
                <w:lang w:bidi="zh-CN"/>
              </w:rPr>
              <w:t>表4-11  环保设施投入估算表</w:t>
            </w:r>
          </w:p>
          <w:tbl>
            <w:tblPr>
              <w:tblStyle w:val="2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019"/>
              <w:gridCol w:w="3711"/>
              <w:gridCol w:w="10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480"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污染类别</w:t>
                  </w: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污染工序</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污染治理措施</w:t>
                  </w:r>
                </w:p>
              </w:tc>
              <w:tc>
                <w:tcPr>
                  <w:tcW w:w="721"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投资估算（万元）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restar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废气治理</w:t>
                  </w: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物料装卸、堆存</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防尘网覆盖、拦挡，喷雾除尘</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tcBorders>
                    <w:tl2br w:val="nil"/>
                    <w:tr2bl w:val="nil"/>
                  </w:tcBorders>
                  <w:vAlign w:val="center"/>
                </w:tcPr>
                <w:p>
                  <w:pPr>
                    <w:spacing w:line="240" w:lineRule="auto"/>
                    <w:jc w:val="center"/>
                    <w:rPr>
                      <w:rFonts w:eastAsia="宋体" w:cs="Times New Roman"/>
                      <w:sz w:val="21"/>
                      <w:szCs w:val="21"/>
                    </w:rPr>
                  </w:pP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上料、搅拌粉尘</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封闭式厂房，顶部配备喷淋设施</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80" w:type="pct"/>
                  <w:vMerge w:val="continue"/>
                  <w:tcBorders>
                    <w:tl2br w:val="nil"/>
                    <w:tr2bl w:val="nil"/>
                  </w:tcBorders>
                  <w:vAlign w:val="center"/>
                </w:tcPr>
                <w:p>
                  <w:pPr>
                    <w:spacing w:line="240" w:lineRule="auto"/>
                    <w:jc w:val="center"/>
                    <w:rPr>
                      <w:rFonts w:eastAsia="宋体" w:cs="Times New Roman"/>
                      <w:sz w:val="21"/>
                      <w:szCs w:val="21"/>
                    </w:rPr>
                  </w:pPr>
                </w:p>
              </w:tc>
              <w:tc>
                <w:tcPr>
                  <w:tcW w:w="1338" w:type="pct"/>
                  <w:tcBorders>
                    <w:tl2br w:val="nil"/>
                    <w:tr2bl w:val="nil"/>
                  </w:tcBorders>
                  <w:vAlign w:val="center"/>
                </w:tcPr>
                <w:p>
                  <w:pPr>
                    <w:pStyle w:val="27"/>
                    <w:jc w:val="center"/>
                    <w:rPr>
                      <w:rFonts w:eastAsia="宋体" w:cs="Times New Roman"/>
                      <w:szCs w:val="21"/>
                    </w:rPr>
                  </w:pPr>
                  <w:r>
                    <w:rPr>
                      <w:rFonts w:hint="eastAsia"/>
                    </w:rPr>
                    <w:t>重晶石粉工序破碎、筛分粉尘</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集气罩+袋式除尘器+15m排气筒（DA001）</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1</w:t>
                  </w:r>
                  <w:r>
                    <w:rPr>
                      <w:rFonts w:hint="eastAsia" w:eastAsia="宋体" w:cs="Times New Roman"/>
                      <w:kern w:val="0"/>
                      <w:sz w:val="21"/>
                      <w:szCs w:val="21"/>
                      <w:lang w:bidi="ar"/>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tcBorders>
                    <w:tl2br w:val="nil"/>
                    <w:tr2bl w:val="nil"/>
                  </w:tcBorders>
                  <w:vAlign w:val="center"/>
                </w:tcPr>
                <w:p>
                  <w:pPr>
                    <w:spacing w:line="240" w:lineRule="auto"/>
                    <w:jc w:val="center"/>
                    <w:rPr>
                      <w:rFonts w:eastAsia="宋体" w:cs="Times New Roman"/>
                      <w:sz w:val="21"/>
                      <w:szCs w:val="21"/>
                    </w:rPr>
                  </w:pPr>
                </w:p>
              </w:tc>
              <w:tc>
                <w:tcPr>
                  <w:tcW w:w="1338" w:type="pct"/>
                  <w:tcBorders>
                    <w:tl2br w:val="nil"/>
                    <w:tr2bl w:val="nil"/>
                  </w:tcBorders>
                  <w:vAlign w:val="center"/>
                </w:tcPr>
                <w:p>
                  <w:pPr>
                    <w:pStyle w:val="27"/>
                    <w:jc w:val="center"/>
                    <w:rPr>
                      <w:rFonts w:eastAsia="宋体" w:cs="Times New Roman"/>
                      <w:szCs w:val="21"/>
                    </w:rPr>
                  </w:pPr>
                  <w:r>
                    <w:rPr>
                      <w:rFonts w:hint="eastAsia"/>
                    </w:rPr>
                    <w:t>重晶石粉研磨工序粉尘</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袋式除尘器+15m排气筒（DA002）</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1</w:t>
                  </w:r>
                  <w:r>
                    <w:rPr>
                      <w:rFonts w:hint="eastAsia" w:eastAsia="宋体" w:cs="Times New Roman"/>
                      <w:kern w:val="0"/>
                      <w:sz w:val="21"/>
                      <w:szCs w:val="21"/>
                      <w:lang w:bidi="ar"/>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tcBorders>
                    <w:tl2br w:val="nil"/>
                    <w:tr2bl w:val="nil"/>
                  </w:tcBorders>
                  <w:vAlign w:val="center"/>
                </w:tcPr>
                <w:p>
                  <w:pPr>
                    <w:spacing w:line="240" w:lineRule="auto"/>
                    <w:jc w:val="center"/>
                    <w:rPr>
                      <w:rFonts w:eastAsia="宋体" w:cs="Times New Roman"/>
                      <w:sz w:val="21"/>
                      <w:szCs w:val="21"/>
                    </w:rPr>
                  </w:pPr>
                </w:p>
              </w:tc>
              <w:tc>
                <w:tcPr>
                  <w:tcW w:w="1338" w:type="pct"/>
                  <w:tcBorders>
                    <w:tl2br w:val="nil"/>
                    <w:tr2bl w:val="nil"/>
                  </w:tcBorders>
                  <w:vAlign w:val="center"/>
                </w:tcPr>
                <w:p>
                  <w:pPr>
                    <w:pStyle w:val="27"/>
                    <w:jc w:val="center"/>
                    <w:rPr>
                      <w:rFonts w:eastAsia="宋体" w:cs="Times New Roman"/>
                      <w:szCs w:val="21"/>
                    </w:rPr>
                  </w:pPr>
                  <w:r>
                    <w:rPr>
                      <w:rFonts w:hint="eastAsia"/>
                    </w:rPr>
                    <w:t>石英砂破碎、筛分工序粉尘</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集气罩+袋式除尘器+15m排气筒（DA003）</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1</w:t>
                  </w:r>
                  <w:r>
                    <w:rPr>
                      <w:rFonts w:hint="eastAsia" w:eastAsia="宋体" w:cs="Times New Roman"/>
                      <w:kern w:val="0"/>
                      <w:sz w:val="21"/>
                      <w:szCs w:val="21"/>
                      <w:lang w:bidi="ar"/>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tcBorders>
                    <w:tl2br w:val="nil"/>
                    <w:tr2bl w:val="nil"/>
                  </w:tcBorders>
                  <w:vAlign w:val="center"/>
                </w:tcPr>
                <w:p>
                  <w:pPr>
                    <w:spacing w:line="240" w:lineRule="auto"/>
                    <w:jc w:val="center"/>
                    <w:rPr>
                      <w:rFonts w:eastAsia="宋体" w:cs="Times New Roman"/>
                      <w:sz w:val="21"/>
                      <w:szCs w:val="21"/>
                    </w:rPr>
                  </w:pP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筒仓粉尘</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仓顶配备脉冲式除尘器</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restar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废水治理</w:t>
                  </w: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洗车废水</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洗车平台、沉淀池等配套设施</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80" w:type="pct"/>
                  <w:vMerge w:val="continue"/>
                  <w:tcBorders>
                    <w:tl2br w:val="nil"/>
                    <w:tr2bl w:val="nil"/>
                  </w:tcBorders>
                  <w:vAlign w:val="center"/>
                </w:tcPr>
                <w:p>
                  <w:pPr>
                    <w:spacing w:line="240" w:lineRule="auto"/>
                    <w:jc w:val="center"/>
                    <w:rPr>
                      <w:rFonts w:eastAsia="宋体" w:cs="Times New Roman"/>
                      <w:sz w:val="21"/>
                      <w:szCs w:val="21"/>
                    </w:rPr>
                  </w:pP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生活污水</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化粪池</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噪声治理</w:t>
                  </w: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设备噪声</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合理布局，选用低噪设备，置于封闭厂房内；设备基座采用减震基座</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restar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固废</w:t>
                  </w: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生活垃圾</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垃圾分类收集桶若干</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tcBorders>
                    <w:tl2br w:val="nil"/>
                    <w:tr2bl w:val="nil"/>
                  </w:tcBorders>
                  <w:vAlign w:val="center"/>
                </w:tcPr>
                <w:p>
                  <w:pPr>
                    <w:spacing w:line="240" w:lineRule="auto"/>
                    <w:jc w:val="center"/>
                    <w:rPr>
                      <w:rFonts w:eastAsia="宋体" w:cs="Times New Roman"/>
                      <w:sz w:val="21"/>
                      <w:szCs w:val="21"/>
                    </w:rPr>
                  </w:pP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一般工业固废</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不合格物料、除尘装置收集的粉尘会用于生产，沉淀池泥沙运送至垃圾填埋场</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tcBorders>
                    <w:tl2br w:val="nil"/>
                    <w:tr2bl w:val="nil"/>
                  </w:tcBorders>
                  <w:vAlign w:val="center"/>
                </w:tcPr>
                <w:p>
                  <w:pPr>
                    <w:spacing w:line="240" w:lineRule="auto"/>
                    <w:jc w:val="center"/>
                    <w:rPr>
                      <w:rFonts w:eastAsia="宋体" w:cs="Times New Roman"/>
                      <w:sz w:val="21"/>
                      <w:szCs w:val="21"/>
                    </w:rPr>
                  </w:pPr>
                </w:p>
              </w:tc>
              <w:tc>
                <w:tcPr>
                  <w:tcW w:w="1338"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危险废物</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危废暂存间1座</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hint="eastAsia" w:eastAsia="宋体" w:cs="Times New Roman"/>
                      <w:kern w:val="0"/>
                      <w:sz w:val="21"/>
                      <w:szCs w:val="21"/>
                      <w:lang w:bidi="ar"/>
                    </w:rPr>
                    <w:t>2</w:t>
                  </w:r>
                  <w:r>
                    <w:rPr>
                      <w:rFonts w:eastAsia="宋体" w:cs="Times New Roman"/>
                      <w:kern w:val="0"/>
                      <w:sz w:val="21"/>
                      <w:szCs w:val="21"/>
                      <w:lang w:bidi="ar"/>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18" w:type="pct"/>
                  <w:gridSpan w:val="2"/>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环境管理与监测</w:t>
                  </w:r>
                </w:p>
              </w:tc>
              <w:tc>
                <w:tcPr>
                  <w:tcW w:w="2459" w:type="pct"/>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制定监测计划，定期开展监测，加强日常运营管理</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8" w:type="pct"/>
                  <w:gridSpan w:val="3"/>
                  <w:tcBorders>
                    <w:tl2br w:val="nil"/>
                    <w:tr2bl w:val="nil"/>
                  </w:tcBorders>
                  <w:vAlign w:val="center"/>
                </w:tcPr>
                <w:p>
                  <w:pPr>
                    <w:spacing w:line="240" w:lineRule="auto"/>
                    <w:jc w:val="center"/>
                    <w:rPr>
                      <w:rFonts w:eastAsia="宋体" w:cs="Times New Roman"/>
                      <w:sz w:val="21"/>
                      <w:szCs w:val="21"/>
                    </w:rPr>
                  </w:pPr>
                  <w:r>
                    <w:rPr>
                      <w:rFonts w:hint="eastAsia" w:eastAsia="宋体" w:cs="Times New Roman"/>
                      <w:sz w:val="21"/>
                      <w:szCs w:val="21"/>
                    </w:rPr>
                    <w:t>合计</w:t>
                  </w:r>
                </w:p>
              </w:tc>
              <w:tc>
                <w:tcPr>
                  <w:tcW w:w="1088" w:type="dxa"/>
                  <w:tcBorders>
                    <w:tl2br w:val="nil"/>
                    <w:tr2bl w:val="nil"/>
                  </w:tcBorders>
                  <w:vAlign w:val="center"/>
                </w:tcPr>
                <w:p>
                  <w:pPr>
                    <w:widowControl/>
                    <w:spacing w:line="240" w:lineRule="auto"/>
                    <w:jc w:val="center"/>
                    <w:textAlignment w:val="center"/>
                    <w:rPr>
                      <w:rFonts w:eastAsia="宋体" w:cs="Times New Roman"/>
                      <w:sz w:val="21"/>
                      <w:szCs w:val="21"/>
                    </w:rPr>
                  </w:pPr>
                  <w:r>
                    <w:rPr>
                      <w:rFonts w:eastAsia="宋体" w:cs="Times New Roman"/>
                      <w:kern w:val="0"/>
                      <w:sz w:val="21"/>
                      <w:szCs w:val="21"/>
                      <w:lang w:bidi="ar"/>
                    </w:rPr>
                    <w:t>100</w:t>
                  </w:r>
                </w:p>
              </w:tc>
            </w:tr>
          </w:tbl>
          <w:p>
            <w:pPr>
              <w:ind w:firstLine="480" w:firstLineChars="200"/>
              <w:rPr>
                <w:rFonts w:eastAsia="宋体" w:cs="Times New Roman"/>
              </w:rPr>
            </w:pPr>
          </w:p>
        </w:tc>
      </w:tr>
    </w:tbl>
    <w:p>
      <w:pPr>
        <w:pStyle w:val="27"/>
        <w:sectPr>
          <w:pgSz w:w="11906" w:h="16838"/>
          <w:pgMar w:top="1440" w:right="1800" w:bottom="1440" w:left="1800" w:header="851" w:footer="992" w:gutter="0"/>
          <w:pgNumType w:fmt="numberInDash"/>
          <w:cols w:space="425" w:num="1"/>
          <w:docGrid w:type="lines" w:linePitch="312" w:charSpace="0"/>
        </w:sectPr>
      </w:pPr>
    </w:p>
    <w:p>
      <w:pPr>
        <w:pStyle w:val="16"/>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6" w:name="_Hlk54167917"/>
      <w:r>
        <w:rPr>
          <w:rFonts w:hint="eastAsia" w:ascii="黑体" w:hAnsi="黑体" w:eastAsia="黑体"/>
          <w:snapToGrid w:val="0"/>
          <w:sz w:val="30"/>
          <w:szCs w:val="30"/>
        </w:rPr>
        <w:t>环境保护措施监督检查清单</w:t>
      </w:r>
      <w:bookmarkEnd w:id="6"/>
    </w:p>
    <w:tbl>
      <w:tblPr>
        <w:tblStyle w:val="20"/>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37"/>
        <w:gridCol w:w="1009"/>
        <w:gridCol w:w="1228"/>
        <w:gridCol w:w="2047"/>
        <w:gridCol w:w="22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dxa"/>
            <w:tcBorders>
              <w:tl2br w:val="single" w:color="auto" w:sz="4" w:space="0"/>
            </w:tcBorders>
          </w:tcPr>
          <w:p>
            <w:pPr>
              <w:adjustRightInd w:val="0"/>
              <w:snapToGrid w:val="0"/>
              <w:jc w:val="right"/>
              <w:rPr>
                <w:b/>
                <w:bCs/>
              </w:rPr>
            </w:pPr>
            <w:r>
              <w:rPr>
                <w:rFonts w:eastAsia="宋体" w:cs="Times New Roman"/>
                <w:b/>
                <w:bCs/>
                <w:szCs w:val="24"/>
              </w:rPr>
              <w:t>内容</w:t>
            </w:r>
          </w:p>
          <w:p>
            <w:pPr>
              <w:adjustRightInd w:val="0"/>
              <w:snapToGrid w:val="0"/>
              <w:rPr>
                <w:b/>
                <w:bCs/>
              </w:rPr>
            </w:pPr>
            <w:r>
              <w:rPr>
                <w:rFonts w:eastAsia="宋体" w:cs="Times New Roman"/>
                <w:b/>
                <w:bCs/>
                <w:szCs w:val="24"/>
              </w:rPr>
              <w:t>要素</w:t>
            </w:r>
          </w:p>
        </w:tc>
        <w:tc>
          <w:tcPr>
            <w:tcW w:w="2346" w:type="dxa"/>
            <w:gridSpan w:val="2"/>
            <w:vAlign w:val="center"/>
          </w:tcPr>
          <w:p>
            <w:pPr>
              <w:adjustRightInd w:val="0"/>
              <w:snapToGrid w:val="0"/>
              <w:spacing w:line="276" w:lineRule="auto"/>
              <w:jc w:val="center"/>
              <w:rPr>
                <w:b/>
                <w:bCs/>
              </w:rPr>
            </w:pPr>
            <w:r>
              <w:rPr>
                <w:rFonts w:eastAsia="宋体" w:cs="Times New Roman"/>
                <w:b/>
                <w:bCs/>
                <w:szCs w:val="24"/>
              </w:rPr>
              <w:t>排放口(编号、</w:t>
            </w:r>
          </w:p>
          <w:p>
            <w:pPr>
              <w:adjustRightInd w:val="0"/>
              <w:snapToGrid w:val="0"/>
              <w:spacing w:line="276" w:lineRule="auto"/>
              <w:jc w:val="center"/>
              <w:rPr>
                <w:b/>
                <w:bCs/>
              </w:rPr>
            </w:pPr>
            <w:r>
              <w:rPr>
                <w:rFonts w:eastAsia="宋体" w:cs="Times New Roman"/>
                <w:b/>
                <w:bCs/>
                <w:szCs w:val="24"/>
              </w:rPr>
              <w:t>名称)/污染源</w:t>
            </w:r>
          </w:p>
        </w:tc>
        <w:tc>
          <w:tcPr>
            <w:tcW w:w="1228" w:type="dxa"/>
            <w:vAlign w:val="center"/>
          </w:tcPr>
          <w:p>
            <w:pPr>
              <w:adjustRightInd w:val="0"/>
              <w:snapToGrid w:val="0"/>
              <w:spacing w:line="276" w:lineRule="auto"/>
              <w:jc w:val="center"/>
              <w:rPr>
                <w:b/>
                <w:bCs/>
              </w:rPr>
            </w:pPr>
            <w:r>
              <w:rPr>
                <w:rFonts w:eastAsia="宋体" w:cs="Times New Roman"/>
                <w:b/>
                <w:bCs/>
                <w:szCs w:val="24"/>
              </w:rPr>
              <w:t>污染物</w:t>
            </w:r>
          </w:p>
          <w:p>
            <w:pPr>
              <w:adjustRightInd w:val="0"/>
              <w:snapToGrid w:val="0"/>
              <w:spacing w:line="276" w:lineRule="auto"/>
              <w:jc w:val="center"/>
              <w:rPr>
                <w:b/>
                <w:bCs/>
              </w:rPr>
            </w:pPr>
            <w:r>
              <w:rPr>
                <w:rFonts w:eastAsia="宋体" w:cs="Times New Roman"/>
                <w:b/>
                <w:bCs/>
                <w:szCs w:val="24"/>
              </w:rPr>
              <w:t>项目</w:t>
            </w:r>
          </w:p>
        </w:tc>
        <w:tc>
          <w:tcPr>
            <w:tcW w:w="2047" w:type="dxa"/>
            <w:vAlign w:val="center"/>
          </w:tcPr>
          <w:p>
            <w:pPr>
              <w:adjustRightInd w:val="0"/>
              <w:snapToGrid w:val="0"/>
              <w:spacing w:line="276" w:lineRule="auto"/>
              <w:jc w:val="center"/>
              <w:rPr>
                <w:b/>
                <w:bCs/>
              </w:rPr>
            </w:pPr>
            <w:r>
              <w:rPr>
                <w:rFonts w:eastAsia="宋体" w:cs="Times New Roman"/>
                <w:b/>
                <w:bCs/>
                <w:szCs w:val="24"/>
              </w:rPr>
              <w:t>环境保护措施</w:t>
            </w:r>
          </w:p>
        </w:tc>
        <w:tc>
          <w:tcPr>
            <w:tcW w:w="2273" w:type="dxa"/>
            <w:vAlign w:val="center"/>
          </w:tcPr>
          <w:p>
            <w:pPr>
              <w:adjustRightInd w:val="0"/>
              <w:snapToGrid w:val="0"/>
              <w:spacing w:line="276" w:lineRule="auto"/>
              <w:jc w:val="center"/>
              <w:rPr>
                <w:b/>
                <w:bCs/>
              </w:rPr>
            </w:pPr>
            <w:r>
              <w:rPr>
                <w:rFonts w:eastAsia="宋体" w:cs="Times New Roman"/>
                <w:b/>
                <w:bCs/>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7" w:type="dxa"/>
            <w:vMerge w:val="restart"/>
            <w:vAlign w:val="center"/>
          </w:tcPr>
          <w:p>
            <w:pPr>
              <w:adjustRightInd w:val="0"/>
              <w:snapToGrid w:val="0"/>
              <w:jc w:val="center"/>
              <w:rPr>
                <w:b/>
                <w:bCs/>
              </w:rPr>
            </w:pPr>
            <w:r>
              <w:rPr>
                <w:rFonts w:eastAsia="宋体" w:cs="Times New Roman"/>
                <w:b/>
                <w:bCs/>
                <w:szCs w:val="24"/>
              </w:rPr>
              <w:t>大气环境</w:t>
            </w:r>
          </w:p>
        </w:tc>
        <w:tc>
          <w:tcPr>
            <w:tcW w:w="1337" w:type="dxa"/>
            <w:vAlign w:val="center"/>
          </w:tcPr>
          <w:p>
            <w:pPr>
              <w:widowControl/>
              <w:spacing w:line="240" w:lineRule="auto"/>
              <w:jc w:val="center"/>
              <w:textAlignment w:val="center"/>
            </w:pPr>
            <w:r>
              <w:rPr>
                <w:rFonts w:hint="eastAsia"/>
              </w:rPr>
              <w:t>重晶石粉工序破碎、筛分粉尘（DA001）</w:t>
            </w:r>
          </w:p>
        </w:tc>
        <w:tc>
          <w:tcPr>
            <w:tcW w:w="1009" w:type="dxa"/>
            <w:vAlign w:val="center"/>
          </w:tcPr>
          <w:p>
            <w:pPr>
              <w:widowControl/>
              <w:spacing w:line="240" w:lineRule="auto"/>
              <w:jc w:val="center"/>
              <w:textAlignment w:val="center"/>
            </w:pPr>
            <w:r>
              <w:rPr>
                <w:rFonts w:hint="eastAsia"/>
              </w:rPr>
              <w:t>有组织</w:t>
            </w:r>
          </w:p>
        </w:tc>
        <w:tc>
          <w:tcPr>
            <w:tcW w:w="1228" w:type="dxa"/>
            <w:vAlign w:val="center"/>
          </w:tcPr>
          <w:p>
            <w:pPr>
              <w:adjustRightInd w:val="0"/>
              <w:snapToGrid w:val="0"/>
              <w:spacing w:line="240" w:lineRule="auto"/>
              <w:jc w:val="center"/>
            </w:pPr>
            <w:r>
              <w:rPr>
                <w:rFonts w:hint="eastAsia"/>
              </w:rPr>
              <w:t>颗粒物</w:t>
            </w:r>
          </w:p>
        </w:tc>
        <w:tc>
          <w:tcPr>
            <w:tcW w:w="2047" w:type="dxa"/>
            <w:vAlign w:val="center"/>
          </w:tcPr>
          <w:p>
            <w:pPr>
              <w:spacing w:line="240" w:lineRule="auto"/>
              <w:jc w:val="center"/>
            </w:pPr>
            <w:r>
              <w:rPr>
                <w:rFonts w:hint="eastAsia"/>
              </w:rPr>
              <w:t>设备位于密闭车间内，集气罩+袋式除尘+15m排气筒</w:t>
            </w:r>
          </w:p>
        </w:tc>
        <w:tc>
          <w:tcPr>
            <w:tcW w:w="2273" w:type="dxa"/>
            <w:vMerge w:val="restart"/>
            <w:vAlign w:val="center"/>
          </w:tcPr>
          <w:p>
            <w:pPr>
              <w:adjustRightInd w:val="0"/>
              <w:snapToGrid w:val="0"/>
              <w:spacing w:line="240" w:lineRule="auto"/>
              <w:jc w:val="center"/>
            </w:pPr>
            <w:r>
              <w:rPr>
                <w:rFonts w:hint="eastAsia"/>
              </w:rPr>
              <w:t>《大气污染物综合排放标准》（GB16297-1996）表2中的标准要求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7" w:type="dxa"/>
            <w:vMerge w:val="continue"/>
            <w:vAlign w:val="center"/>
          </w:tcPr>
          <w:p>
            <w:pPr>
              <w:adjustRightInd w:val="0"/>
              <w:snapToGrid w:val="0"/>
              <w:jc w:val="center"/>
              <w:rPr>
                <w:rFonts w:eastAsia="宋体" w:cs="Times New Roman"/>
                <w:b/>
                <w:bCs/>
                <w:szCs w:val="24"/>
              </w:rPr>
            </w:pPr>
          </w:p>
        </w:tc>
        <w:tc>
          <w:tcPr>
            <w:tcW w:w="1337" w:type="dxa"/>
            <w:vAlign w:val="center"/>
          </w:tcPr>
          <w:p>
            <w:pPr>
              <w:widowControl/>
              <w:spacing w:line="240" w:lineRule="auto"/>
              <w:jc w:val="center"/>
              <w:textAlignment w:val="center"/>
            </w:pPr>
            <w:r>
              <w:rPr>
                <w:rFonts w:hint="eastAsia"/>
              </w:rPr>
              <w:t>重晶石粉研磨工序粉尘（DA00</w:t>
            </w:r>
            <w:r>
              <w:t>2</w:t>
            </w:r>
            <w:r>
              <w:rPr>
                <w:rFonts w:hint="eastAsia"/>
              </w:rPr>
              <w:t>)</w:t>
            </w:r>
          </w:p>
        </w:tc>
        <w:tc>
          <w:tcPr>
            <w:tcW w:w="1009" w:type="dxa"/>
            <w:vAlign w:val="center"/>
          </w:tcPr>
          <w:p>
            <w:pPr>
              <w:widowControl/>
              <w:spacing w:line="240" w:lineRule="auto"/>
              <w:jc w:val="center"/>
              <w:textAlignment w:val="center"/>
            </w:pPr>
            <w:r>
              <w:rPr>
                <w:rFonts w:hint="eastAsia"/>
              </w:rPr>
              <w:t>有组织</w:t>
            </w:r>
          </w:p>
        </w:tc>
        <w:tc>
          <w:tcPr>
            <w:tcW w:w="1228" w:type="dxa"/>
            <w:vAlign w:val="center"/>
          </w:tcPr>
          <w:p>
            <w:pPr>
              <w:adjustRightInd w:val="0"/>
              <w:snapToGrid w:val="0"/>
              <w:spacing w:line="240" w:lineRule="auto"/>
              <w:jc w:val="center"/>
            </w:pPr>
            <w:r>
              <w:rPr>
                <w:rFonts w:hint="eastAsia"/>
              </w:rPr>
              <w:t>颗粒物</w:t>
            </w:r>
          </w:p>
        </w:tc>
        <w:tc>
          <w:tcPr>
            <w:tcW w:w="2047" w:type="dxa"/>
            <w:vAlign w:val="center"/>
          </w:tcPr>
          <w:p>
            <w:pPr>
              <w:spacing w:line="240" w:lineRule="auto"/>
              <w:jc w:val="center"/>
            </w:pPr>
            <w:r>
              <w:rPr>
                <w:rFonts w:hint="eastAsia"/>
              </w:rPr>
              <w:t>设备位于密闭车间内，袋式除尘+15m排气筒</w:t>
            </w:r>
          </w:p>
        </w:tc>
        <w:tc>
          <w:tcPr>
            <w:tcW w:w="2273" w:type="dxa"/>
            <w:vMerge w:val="continue"/>
            <w:vAlign w:val="center"/>
          </w:tcPr>
          <w:p>
            <w:pPr>
              <w:adjustRightInd w:val="0"/>
              <w:snapToGrid w:val="0"/>
              <w:spacing w:line="240" w:lineRule="auto"/>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7" w:type="dxa"/>
            <w:vMerge w:val="continue"/>
            <w:vAlign w:val="center"/>
          </w:tcPr>
          <w:p>
            <w:pPr>
              <w:adjustRightInd w:val="0"/>
              <w:snapToGrid w:val="0"/>
              <w:jc w:val="center"/>
              <w:rPr>
                <w:rFonts w:eastAsia="宋体" w:cs="Times New Roman"/>
                <w:b/>
                <w:bCs/>
                <w:szCs w:val="24"/>
              </w:rPr>
            </w:pPr>
          </w:p>
        </w:tc>
        <w:tc>
          <w:tcPr>
            <w:tcW w:w="1337" w:type="dxa"/>
            <w:vAlign w:val="center"/>
          </w:tcPr>
          <w:p>
            <w:pPr>
              <w:widowControl/>
              <w:spacing w:line="240" w:lineRule="auto"/>
              <w:jc w:val="center"/>
              <w:textAlignment w:val="center"/>
            </w:pPr>
            <w:r>
              <w:rPr>
                <w:rFonts w:hint="eastAsia"/>
              </w:rPr>
              <w:t>石英砂破碎、筛分工序粉尘(DA00</w:t>
            </w:r>
            <w:r>
              <w:t>3</w:t>
            </w:r>
            <w:r>
              <w:rPr>
                <w:rFonts w:hint="eastAsia"/>
              </w:rPr>
              <w:t>)</w:t>
            </w:r>
          </w:p>
        </w:tc>
        <w:tc>
          <w:tcPr>
            <w:tcW w:w="1009" w:type="dxa"/>
            <w:vAlign w:val="center"/>
          </w:tcPr>
          <w:p>
            <w:pPr>
              <w:widowControl/>
              <w:spacing w:line="240" w:lineRule="auto"/>
              <w:jc w:val="center"/>
              <w:textAlignment w:val="center"/>
            </w:pPr>
            <w:r>
              <w:rPr>
                <w:rFonts w:hint="eastAsia"/>
              </w:rPr>
              <w:t>有组织</w:t>
            </w:r>
          </w:p>
        </w:tc>
        <w:tc>
          <w:tcPr>
            <w:tcW w:w="1228" w:type="dxa"/>
            <w:vAlign w:val="center"/>
          </w:tcPr>
          <w:p>
            <w:pPr>
              <w:adjustRightInd w:val="0"/>
              <w:snapToGrid w:val="0"/>
              <w:spacing w:line="240" w:lineRule="auto"/>
              <w:jc w:val="center"/>
            </w:pPr>
            <w:r>
              <w:rPr>
                <w:rFonts w:hint="eastAsia"/>
              </w:rPr>
              <w:t>颗粒物</w:t>
            </w:r>
          </w:p>
        </w:tc>
        <w:tc>
          <w:tcPr>
            <w:tcW w:w="2047" w:type="dxa"/>
            <w:vAlign w:val="center"/>
          </w:tcPr>
          <w:p>
            <w:pPr>
              <w:spacing w:line="240" w:lineRule="auto"/>
              <w:jc w:val="center"/>
            </w:pPr>
            <w:r>
              <w:rPr>
                <w:rFonts w:hint="eastAsia"/>
              </w:rPr>
              <w:t>设备位于密闭车间内，集气罩+袋式除尘+15m排气筒</w:t>
            </w:r>
          </w:p>
        </w:tc>
        <w:tc>
          <w:tcPr>
            <w:tcW w:w="2273" w:type="dxa"/>
            <w:vMerge w:val="continue"/>
            <w:vAlign w:val="center"/>
          </w:tcPr>
          <w:p>
            <w:pPr>
              <w:adjustRightInd w:val="0"/>
              <w:snapToGrid w:val="0"/>
              <w:spacing w:line="240" w:lineRule="auto"/>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7" w:type="dxa"/>
            <w:vMerge w:val="continue"/>
            <w:vAlign w:val="center"/>
          </w:tcPr>
          <w:p>
            <w:pPr>
              <w:adjustRightInd w:val="0"/>
              <w:snapToGrid w:val="0"/>
              <w:jc w:val="center"/>
              <w:rPr>
                <w:rFonts w:eastAsia="宋体" w:cs="Times New Roman"/>
                <w:b/>
                <w:bCs/>
                <w:szCs w:val="24"/>
              </w:rPr>
            </w:pPr>
          </w:p>
        </w:tc>
        <w:tc>
          <w:tcPr>
            <w:tcW w:w="1337" w:type="dxa"/>
            <w:vAlign w:val="center"/>
          </w:tcPr>
          <w:p>
            <w:pPr>
              <w:widowControl/>
              <w:spacing w:line="240" w:lineRule="auto"/>
              <w:jc w:val="center"/>
              <w:textAlignment w:val="center"/>
            </w:pPr>
            <w:r>
              <w:rPr>
                <w:rFonts w:hint="eastAsia"/>
              </w:rPr>
              <w:t>无组织粉尘</w:t>
            </w:r>
          </w:p>
        </w:tc>
        <w:tc>
          <w:tcPr>
            <w:tcW w:w="1009" w:type="dxa"/>
            <w:vAlign w:val="center"/>
          </w:tcPr>
          <w:p>
            <w:pPr>
              <w:widowControl/>
              <w:spacing w:line="240" w:lineRule="auto"/>
              <w:jc w:val="center"/>
              <w:textAlignment w:val="center"/>
            </w:pPr>
            <w:r>
              <w:rPr>
                <w:rFonts w:hint="eastAsia"/>
              </w:rPr>
              <w:t>无组织</w:t>
            </w:r>
          </w:p>
        </w:tc>
        <w:tc>
          <w:tcPr>
            <w:tcW w:w="1228" w:type="dxa"/>
            <w:vAlign w:val="center"/>
          </w:tcPr>
          <w:p>
            <w:pPr>
              <w:adjustRightInd w:val="0"/>
              <w:snapToGrid w:val="0"/>
              <w:spacing w:line="240" w:lineRule="auto"/>
              <w:jc w:val="center"/>
            </w:pPr>
            <w:r>
              <w:rPr>
                <w:rFonts w:hint="eastAsia"/>
              </w:rPr>
              <w:t>颗粒物</w:t>
            </w:r>
          </w:p>
        </w:tc>
        <w:tc>
          <w:tcPr>
            <w:tcW w:w="2047" w:type="dxa"/>
            <w:vAlign w:val="center"/>
          </w:tcPr>
          <w:p>
            <w:pPr>
              <w:spacing w:line="240" w:lineRule="auto"/>
              <w:jc w:val="center"/>
            </w:pPr>
            <w:r>
              <w:rPr>
                <w:rFonts w:hint="eastAsia"/>
              </w:rPr>
              <w:t>物料堆放时采用防尘网遮盖并设置围挡，物料装卸料时采用喷雾降尘装置；场内道路洒水，车辆冲洗；车间内无组织粉尘采取密闭车间+顶部喷淋等</w:t>
            </w:r>
          </w:p>
        </w:tc>
        <w:tc>
          <w:tcPr>
            <w:tcW w:w="2273" w:type="dxa"/>
            <w:vAlign w:val="center"/>
          </w:tcPr>
          <w:p>
            <w:pPr>
              <w:adjustRightInd w:val="0"/>
              <w:snapToGrid w:val="0"/>
              <w:spacing w:line="240" w:lineRule="auto"/>
              <w:jc w:val="center"/>
            </w:pPr>
            <w:r>
              <w:rPr>
                <w:rFonts w:hint="eastAsia"/>
              </w:rPr>
              <w:t>《水泥工业大气污染物排放标准》（</w:t>
            </w:r>
            <w:r>
              <w:t>GB 4915-2013</w:t>
            </w:r>
            <w:r>
              <w:rPr>
                <w:rFonts w:hint="eastAsia"/>
              </w:rPr>
              <w:t>）表3中的标准要求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7" w:type="dxa"/>
            <w:vMerge w:val="restart"/>
            <w:vAlign w:val="center"/>
          </w:tcPr>
          <w:p>
            <w:pPr>
              <w:adjustRightInd w:val="0"/>
              <w:snapToGrid w:val="0"/>
              <w:jc w:val="center"/>
              <w:rPr>
                <w:b/>
                <w:bCs/>
              </w:rPr>
            </w:pPr>
            <w:r>
              <w:rPr>
                <w:rFonts w:eastAsia="宋体" w:cs="Times New Roman"/>
                <w:b/>
                <w:bCs/>
                <w:szCs w:val="24"/>
              </w:rPr>
              <w:t>地表水环境</w:t>
            </w:r>
          </w:p>
        </w:tc>
        <w:tc>
          <w:tcPr>
            <w:tcW w:w="2346" w:type="dxa"/>
            <w:gridSpan w:val="2"/>
            <w:vAlign w:val="center"/>
          </w:tcPr>
          <w:p>
            <w:pPr>
              <w:spacing w:line="240" w:lineRule="auto"/>
              <w:jc w:val="center"/>
            </w:pPr>
            <w:r>
              <w:rPr>
                <w:rFonts w:hint="eastAsia"/>
              </w:rPr>
              <w:t>洗车废水</w:t>
            </w:r>
          </w:p>
        </w:tc>
        <w:tc>
          <w:tcPr>
            <w:tcW w:w="1228" w:type="dxa"/>
            <w:vAlign w:val="center"/>
          </w:tcPr>
          <w:p>
            <w:pPr>
              <w:spacing w:line="240" w:lineRule="auto"/>
              <w:jc w:val="center"/>
            </w:pPr>
            <w:r>
              <w:rPr>
                <w:rFonts w:hint="eastAsia"/>
              </w:rPr>
              <w:t>SS</w:t>
            </w:r>
          </w:p>
        </w:tc>
        <w:tc>
          <w:tcPr>
            <w:tcW w:w="2047" w:type="dxa"/>
            <w:vAlign w:val="center"/>
          </w:tcPr>
          <w:p>
            <w:pPr>
              <w:spacing w:line="240" w:lineRule="auto"/>
              <w:jc w:val="center"/>
            </w:pPr>
            <w:r>
              <w:rPr>
                <w:rFonts w:hint="eastAsia"/>
              </w:rPr>
              <w:t>洗车台及沉淀池</w:t>
            </w:r>
          </w:p>
        </w:tc>
        <w:tc>
          <w:tcPr>
            <w:tcW w:w="2273" w:type="dxa"/>
            <w:vAlign w:val="center"/>
          </w:tcPr>
          <w:p>
            <w:pPr>
              <w:spacing w:line="240" w:lineRule="auto"/>
              <w:jc w:val="center"/>
            </w:pPr>
            <w:r>
              <w:rPr>
                <w:rFonts w:hint="eastAsia"/>
              </w:rPr>
              <w:t>回用于车辆冲洗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7" w:type="dxa"/>
            <w:vMerge w:val="continue"/>
            <w:vAlign w:val="center"/>
          </w:tcPr>
          <w:p>
            <w:pPr>
              <w:adjustRightInd w:val="0"/>
              <w:snapToGrid w:val="0"/>
              <w:jc w:val="center"/>
              <w:rPr>
                <w:rFonts w:eastAsia="宋体" w:cs="Times New Roman"/>
                <w:b/>
                <w:bCs/>
                <w:szCs w:val="24"/>
              </w:rPr>
            </w:pPr>
          </w:p>
        </w:tc>
        <w:tc>
          <w:tcPr>
            <w:tcW w:w="2346" w:type="dxa"/>
            <w:gridSpan w:val="2"/>
            <w:vAlign w:val="center"/>
          </w:tcPr>
          <w:p>
            <w:pPr>
              <w:spacing w:line="240" w:lineRule="auto"/>
              <w:jc w:val="center"/>
            </w:pPr>
            <w:r>
              <w:rPr>
                <w:rFonts w:hint="eastAsia"/>
              </w:rPr>
              <w:t>生活污水</w:t>
            </w:r>
          </w:p>
        </w:tc>
        <w:tc>
          <w:tcPr>
            <w:tcW w:w="1228" w:type="dxa"/>
            <w:vAlign w:val="center"/>
          </w:tcPr>
          <w:p>
            <w:pPr>
              <w:spacing w:line="240" w:lineRule="auto"/>
              <w:jc w:val="center"/>
            </w:pPr>
            <w:r>
              <w:rPr>
                <w:rFonts w:hint="eastAsia"/>
              </w:rPr>
              <w:t>COD、BOD</w:t>
            </w:r>
            <w:r>
              <w:rPr>
                <w:rFonts w:hint="eastAsia"/>
                <w:vertAlign w:val="subscript"/>
              </w:rPr>
              <w:t>5</w:t>
            </w:r>
            <w:r>
              <w:rPr>
                <w:rFonts w:hint="eastAsia"/>
              </w:rPr>
              <w:t>、SS、NH</w:t>
            </w:r>
            <w:r>
              <w:rPr>
                <w:rFonts w:hint="eastAsia"/>
                <w:vertAlign w:val="subscript"/>
              </w:rPr>
              <w:t>3</w:t>
            </w:r>
            <w:r>
              <w:rPr>
                <w:rFonts w:hint="eastAsia"/>
              </w:rPr>
              <w:t>-N等</w:t>
            </w:r>
          </w:p>
        </w:tc>
        <w:tc>
          <w:tcPr>
            <w:tcW w:w="2047" w:type="dxa"/>
            <w:vAlign w:val="center"/>
          </w:tcPr>
          <w:p>
            <w:pPr>
              <w:spacing w:line="240" w:lineRule="auto"/>
              <w:jc w:val="center"/>
            </w:pPr>
            <w:r>
              <w:rPr>
                <w:rFonts w:hint="eastAsia"/>
              </w:rPr>
              <w:t>化粪池</w:t>
            </w:r>
          </w:p>
        </w:tc>
        <w:tc>
          <w:tcPr>
            <w:tcW w:w="2273" w:type="dxa"/>
            <w:vAlign w:val="center"/>
          </w:tcPr>
          <w:p>
            <w:pPr>
              <w:spacing w:line="240" w:lineRule="auto"/>
              <w:jc w:val="center"/>
              <w:rPr>
                <w:lang w:val="zh-TW"/>
              </w:rPr>
            </w:pPr>
            <w:r>
              <w:rPr>
                <w:rFonts w:hint="eastAsia"/>
                <w:lang w:val="zh-TW"/>
              </w:rPr>
              <w:t>化粪池定期清掏用作农肥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007" w:type="dxa"/>
            <w:vAlign w:val="center"/>
          </w:tcPr>
          <w:p>
            <w:pPr>
              <w:adjustRightInd w:val="0"/>
              <w:snapToGrid w:val="0"/>
              <w:jc w:val="center"/>
              <w:rPr>
                <w:b/>
                <w:bCs/>
              </w:rPr>
            </w:pPr>
            <w:r>
              <w:rPr>
                <w:rFonts w:eastAsia="宋体" w:cs="Times New Roman"/>
                <w:b/>
                <w:bCs/>
                <w:szCs w:val="24"/>
              </w:rPr>
              <w:t>声环境</w:t>
            </w:r>
          </w:p>
        </w:tc>
        <w:tc>
          <w:tcPr>
            <w:tcW w:w="2346" w:type="dxa"/>
            <w:gridSpan w:val="2"/>
            <w:vAlign w:val="center"/>
          </w:tcPr>
          <w:p>
            <w:pPr>
              <w:adjustRightInd w:val="0"/>
              <w:snapToGrid w:val="0"/>
              <w:spacing w:line="240" w:lineRule="auto"/>
              <w:jc w:val="center"/>
            </w:pPr>
            <w:r>
              <w:rPr>
                <w:rFonts w:hint="eastAsia"/>
              </w:rPr>
              <w:t>设备噪声</w:t>
            </w:r>
          </w:p>
        </w:tc>
        <w:tc>
          <w:tcPr>
            <w:tcW w:w="1228" w:type="dxa"/>
            <w:vAlign w:val="center"/>
          </w:tcPr>
          <w:p>
            <w:pPr>
              <w:adjustRightInd w:val="0"/>
              <w:snapToGrid w:val="0"/>
              <w:spacing w:line="240" w:lineRule="auto"/>
              <w:jc w:val="center"/>
            </w:pPr>
            <w:r>
              <w:rPr>
                <w:rFonts w:hint="eastAsia"/>
              </w:rPr>
              <w:t>噪声</w:t>
            </w:r>
          </w:p>
        </w:tc>
        <w:tc>
          <w:tcPr>
            <w:tcW w:w="2047" w:type="dxa"/>
            <w:vAlign w:val="center"/>
          </w:tcPr>
          <w:p>
            <w:pPr>
              <w:adjustRightInd w:val="0"/>
              <w:snapToGrid w:val="0"/>
              <w:spacing w:line="240" w:lineRule="auto"/>
              <w:jc w:val="center"/>
            </w:pPr>
            <w:r>
              <w:rPr>
                <w:rFonts w:hint="eastAsia"/>
              </w:rPr>
              <w:t>厂房隔声、设备基础减振</w:t>
            </w:r>
          </w:p>
        </w:tc>
        <w:tc>
          <w:tcPr>
            <w:tcW w:w="2273" w:type="dxa"/>
            <w:vAlign w:val="center"/>
          </w:tcPr>
          <w:p>
            <w:pPr>
              <w:adjustRightInd w:val="0"/>
              <w:snapToGrid w:val="0"/>
              <w:spacing w:line="240" w:lineRule="auto"/>
              <w:jc w:val="center"/>
            </w:pPr>
            <w:r>
              <w:rPr>
                <w:rFonts w:hint="eastAsia"/>
              </w:rPr>
              <w:t>厂界四周满足《工业企业厂界环境声排放标准》（GB12348-2008）中2类标准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7" w:type="dxa"/>
            <w:vAlign w:val="center"/>
          </w:tcPr>
          <w:p>
            <w:pPr>
              <w:adjustRightInd w:val="0"/>
              <w:snapToGrid w:val="0"/>
              <w:spacing w:line="240" w:lineRule="auto"/>
              <w:jc w:val="center"/>
              <w:rPr>
                <w:b/>
                <w:bCs/>
              </w:rPr>
            </w:pPr>
            <w:r>
              <w:rPr>
                <w:rFonts w:eastAsia="宋体" w:cs="Times New Roman"/>
                <w:b/>
                <w:bCs/>
                <w:szCs w:val="24"/>
              </w:rPr>
              <w:t>固体废物</w:t>
            </w:r>
          </w:p>
        </w:tc>
        <w:tc>
          <w:tcPr>
            <w:tcW w:w="7894" w:type="dxa"/>
            <w:gridSpan w:val="5"/>
            <w:vAlign w:val="center"/>
          </w:tcPr>
          <w:p>
            <w:pPr>
              <w:pStyle w:val="61"/>
              <w:spacing w:line="360" w:lineRule="auto"/>
              <w:ind w:firstLine="480" w:firstLineChars="200"/>
              <w:rPr>
                <w:szCs w:val="24"/>
              </w:rPr>
            </w:pPr>
            <w:r>
              <w:rPr>
                <w:rFonts w:hint="eastAsia"/>
                <w:szCs w:val="24"/>
              </w:rPr>
              <w:t>1、生活垃圾：生活垃圾应根据相关规定，对生活垃圾进行分类收集后由环卫部门定期清运。</w:t>
            </w:r>
          </w:p>
          <w:p>
            <w:pPr>
              <w:pStyle w:val="61"/>
              <w:spacing w:line="360" w:lineRule="auto"/>
              <w:ind w:firstLine="480" w:firstLineChars="200"/>
              <w:rPr>
                <w:szCs w:val="24"/>
              </w:rPr>
            </w:pPr>
            <w:r>
              <w:rPr>
                <w:rFonts w:hint="eastAsia"/>
                <w:szCs w:val="24"/>
              </w:rPr>
              <w:t>2、一般固体废物：不合格物料经收集后返回破碎工序重新利用；除尘装置收集的粉尘回用于生产；沉淀池泥沙经收集后运送至垃圾填埋场填埋。一般工业固体废物的处理与处置满足《一般工业固体废物贮存和填埋污染控制标准》(GB18599-2020)。</w:t>
            </w:r>
          </w:p>
          <w:p>
            <w:pPr>
              <w:pStyle w:val="61"/>
              <w:spacing w:line="360" w:lineRule="auto"/>
              <w:ind w:firstLine="480" w:firstLineChars="200"/>
              <w:rPr>
                <w:szCs w:val="24"/>
              </w:rPr>
            </w:pPr>
            <w:r>
              <w:rPr>
                <w:rFonts w:hint="eastAsia"/>
                <w:szCs w:val="24"/>
              </w:rPr>
              <w:t>3、危险废物：本项目危废暂存柜的设置应按照《危险废物贮存污染控制标准》（GB18597-2001）及其修改单中的相关要求。危险废物贮存设施都必须按《环境保护图形标志-固体废物贮存（处置）场》（GB15562.2-1995）的规定，规范立标设置环保标识牌。加强管理防止发生意外事故，同时厂区范围内必须完善消防措施及加强管理。</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2" w:hRule="atLeast"/>
          <w:jc w:val="center"/>
        </w:trPr>
        <w:tc>
          <w:tcPr>
            <w:tcW w:w="1007" w:type="dxa"/>
            <w:vAlign w:val="center"/>
          </w:tcPr>
          <w:p>
            <w:pPr>
              <w:adjustRightInd w:val="0"/>
              <w:snapToGrid w:val="0"/>
              <w:spacing w:line="240" w:lineRule="auto"/>
              <w:jc w:val="center"/>
              <w:rPr>
                <w:b/>
                <w:bCs/>
              </w:rPr>
            </w:pPr>
            <w:r>
              <w:rPr>
                <w:rFonts w:eastAsia="宋体" w:cs="Times New Roman"/>
                <w:b/>
                <w:bCs/>
                <w:szCs w:val="24"/>
              </w:rPr>
              <w:t>土壤及地下水污染防治措施</w:t>
            </w:r>
          </w:p>
        </w:tc>
        <w:tc>
          <w:tcPr>
            <w:tcW w:w="7894" w:type="dxa"/>
            <w:gridSpan w:val="5"/>
            <w:vAlign w:val="center"/>
          </w:tcPr>
          <w:p>
            <w:pPr>
              <w:ind w:firstLine="480" w:firstLineChars="200"/>
            </w:pPr>
            <w:r>
              <w:rPr>
                <w:rFonts w:hint="eastAsia"/>
              </w:rPr>
              <w:t>1、化粪池等各类池体需保证工程质量，做好严格的防渗处理，确保废水污染物不会出现渗漏现象。</w:t>
            </w:r>
          </w:p>
          <w:p>
            <w:pPr>
              <w:ind w:firstLine="480" w:firstLineChars="200"/>
            </w:pPr>
            <w:r>
              <w:rPr>
                <w:rFonts w:hint="eastAsia"/>
              </w:rPr>
              <w:t>2、危废暂存柜作为重点防渗区采取相应的防渗防漏措施，避免对土壤甚至地下水造成二次污染。</w:t>
            </w:r>
          </w:p>
          <w:p>
            <w:pPr>
              <w:ind w:firstLine="480" w:firstLineChars="200"/>
            </w:pPr>
            <w:r>
              <w:rPr>
                <w:rFonts w:hint="eastAsia"/>
              </w:rPr>
              <w:t>3、场内应完善雨污分流设施，建设独立的排水渠，杜绝生产废水漫流、下渗进入土壤，造成土壤污染。</w:t>
            </w:r>
          </w:p>
          <w:p>
            <w:pPr>
              <w:ind w:firstLine="480" w:firstLineChars="200"/>
            </w:pPr>
            <w:r>
              <w:rPr>
                <w:rFonts w:hint="eastAsia"/>
              </w:rPr>
              <w:t>4、本次评价要求建设单位完善相关环保制度，定期巡视，检查设备运行状况与危废暂存柜，加强对污水处理设备的维护，防止渗漏事故发生。</w:t>
            </w:r>
          </w:p>
          <w:p>
            <w:pPr>
              <w:ind w:firstLine="480" w:firstLineChars="200"/>
            </w:pPr>
            <w:r>
              <w:rPr>
                <w:rFonts w:hint="eastAsia"/>
              </w:rPr>
              <w:t>5、落实并强化废气处理环保措施运行管理，定期对环保设施进行维护和保养；严格落实生产车间无组织废气排放控制措施，加强生产管理，降低无组织废气对土壤的影响；产生的固体废弃物应及时处理，尽可能减少厂内暂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1007" w:type="dxa"/>
            <w:vAlign w:val="center"/>
          </w:tcPr>
          <w:p>
            <w:pPr>
              <w:adjustRightInd w:val="0"/>
              <w:snapToGrid w:val="0"/>
              <w:jc w:val="center"/>
              <w:rPr>
                <w:b/>
                <w:bCs/>
                <w:spacing w:val="-8"/>
              </w:rPr>
            </w:pPr>
            <w:r>
              <w:rPr>
                <w:rFonts w:eastAsia="宋体" w:cs="Times New Roman"/>
                <w:b/>
                <w:bCs/>
                <w:spacing w:val="-8"/>
                <w:szCs w:val="24"/>
              </w:rPr>
              <w:t>环境风险防范措施</w:t>
            </w:r>
          </w:p>
        </w:tc>
        <w:tc>
          <w:tcPr>
            <w:tcW w:w="7894" w:type="dxa"/>
            <w:gridSpan w:val="5"/>
            <w:vAlign w:val="center"/>
          </w:tcPr>
          <w:p>
            <w:pPr>
              <w:ind w:firstLine="480" w:firstLineChars="200"/>
              <w:rPr>
                <w:szCs w:val="24"/>
              </w:rPr>
            </w:pPr>
            <w:r>
              <w:rPr>
                <w:rFonts w:hint="eastAsia"/>
                <w:szCs w:val="24"/>
              </w:rPr>
              <w:t>1、针对油类物质，项目在生产过程中要一定注意通风，远离火花、明火、热源。厂区内应安装消防及火灾报警系统，并配套相应的消防设施。厂区总平面布置符合防范事故要求，有应急救援设施及救援通道、应急疏散及避难所。</w:t>
            </w:r>
          </w:p>
          <w:p>
            <w:pPr>
              <w:ind w:firstLine="480" w:firstLineChars="200"/>
              <w:rPr>
                <w:szCs w:val="24"/>
              </w:rPr>
            </w:pPr>
            <w:r>
              <w:rPr>
                <w:szCs w:val="24"/>
              </w:rPr>
              <w:t>2</w:t>
            </w:r>
            <w:r>
              <w:rPr>
                <w:rFonts w:hint="eastAsia"/>
                <w:szCs w:val="24"/>
              </w:rPr>
              <w:t>、关于风险管理，应加强职工的安全教育，定期组织事故抢救演习。企业应开展安全生产定期检查，严格实行岗位责任制，及时发现并消除隐患；制定防止事故发生的各项规章制度并严格执行。按规定对操作人员进行安全操作技术培训，考试合格后方可上岗。企业的安全工作应做到经常化和常态化。</w:t>
            </w:r>
          </w:p>
          <w:p>
            <w:pPr>
              <w:ind w:firstLine="480" w:firstLineChars="200"/>
              <w:rPr>
                <w:szCs w:val="24"/>
              </w:rPr>
            </w:pPr>
            <w:r>
              <w:rPr>
                <w:szCs w:val="24"/>
              </w:rPr>
              <w:t>3</w:t>
            </w:r>
            <w:r>
              <w:rPr>
                <w:rFonts w:hint="eastAsia"/>
                <w:szCs w:val="24"/>
              </w:rPr>
              <w:t>、针对厂区环境风险，建设单位应编制突发环境事件应急预案，并报环保局备案，且及时修正应急预案并加强演练，目的是为了在发生风险事故时，能以最快的速度发挥最大的效能，有序的实施救援，尽快控制事态的发展，降低事故造成的危害，减少事故造成的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7" w:hRule="atLeast"/>
          <w:jc w:val="center"/>
        </w:trPr>
        <w:tc>
          <w:tcPr>
            <w:tcW w:w="1007" w:type="dxa"/>
            <w:vAlign w:val="center"/>
          </w:tcPr>
          <w:p>
            <w:pPr>
              <w:adjustRightInd w:val="0"/>
              <w:snapToGrid w:val="0"/>
              <w:jc w:val="center"/>
              <w:rPr>
                <w:b/>
                <w:bCs/>
                <w:spacing w:val="-8"/>
              </w:rPr>
            </w:pPr>
            <w:r>
              <w:rPr>
                <w:rFonts w:eastAsia="宋体" w:cs="Times New Roman"/>
                <w:b/>
                <w:bCs/>
                <w:spacing w:val="-8"/>
                <w:szCs w:val="24"/>
              </w:rPr>
              <w:t>其他环境管理要求</w:t>
            </w:r>
          </w:p>
        </w:tc>
        <w:tc>
          <w:tcPr>
            <w:tcW w:w="7894" w:type="dxa"/>
            <w:gridSpan w:val="5"/>
            <w:vAlign w:val="center"/>
          </w:tcPr>
          <w:p>
            <w:pPr>
              <w:ind w:firstLine="480" w:firstLineChars="200"/>
            </w:pPr>
            <w:r>
              <w:rPr>
                <w:rFonts w:hint="eastAsia"/>
              </w:rPr>
              <w:t>1、按照环境影响评价以及本项目相关规划文件的要求落实各项污染治理措施；</w:t>
            </w:r>
          </w:p>
          <w:p>
            <w:pPr>
              <w:ind w:firstLine="480" w:firstLineChars="200"/>
            </w:pPr>
            <w:r>
              <w:rPr>
                <w:rFonts w:hint="eastAsia"/>
              </w:rPr>
              <w:t>2、设专门的环境管理人员，加强环保设施的维护与管理，确保其正常运行，三废达标排放；</w:t>
            </w:r>
          </w:p>
          <w:p>
            <w:pPr>
              <w:ind w:firstLine="480" w:firstLineChars="200"/>
            </w:pPr>
            <w:r>
              <w:rPr>
                <w:rFonts w:hint="eastAsia"/>
              </w:rPr>
              <w:t>3、建立企业环境风险应急机制，加强厂房巡查、监视力度，强化风险管理；</w:t>
            </w:r>
          </w:p>
          <w:p>
            <w:pPr>
              <w:ind w:firstLine="480" w:firstLineChars="200"/>
            </w:pPr>
            <w:r>
              <w:rPr>
                <w:rFonts w:hint="eastAsia"/>
              </w:rPr>
              <w:t>4、加强场区卫生与安全管理，杜绝污染和危险事故的发生。</w:t>
            </w:r>
          </w:p>
          <w:p>
            <w:pPr>
              <w:ind w:firstLine="480" w:firstLineChars="200"/>
            </w:pPr>
          </w:p>
        </w:tc>
      </w:tr>
    </w:tbl>
    <w:p>
      <w:pPr>
        <w:pStyle w:val="27"/>
        <w:sectPr>
          <w:pgSz w:w="11906" w:h="16838"/>
          <w:pgMar w:top="1440" w:right="1800" w:bottom="1440" w:left="1800" w:header="851" w:footer="992" w:gutter="0"/>
          <w:pgNumType w:fmt="numberInDash"/>
          <w:cols w:space="425" w:num="1"/>
          <w:docGrid w:type="lines" w:linePitch="312" w:charSpace="0"/>
        </w:sectPr>
      </w:pPr>
    </w:p>
    <w:p>
      <w:pPr>
        <w:pStyle w:val="15"/>
        <w:rPr>
          <w:sz w:val="28"/>
          <w:szCs w:val="28"/>
        </w:rPr>
      </w:pPr>
      <w:bookmarkStart w:id="7" w:name="_Hlk69740078"/>
      <w:r>
        <w:rPr>
          <w:rFonts w:hint="eastAsia"/>
          <w:sz w:val="28"/>
          <w:szCs w:val="28"/>
        </w:rPr>
        <w:t>六、结论</w:t>
      </w:r>
    </w:p>
    <w:bookmarkEnd w:id="7"/>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eastAsia="宋体" w:cs="Times New Roman"/>
                <w:kern w:val="0"/>
                <w:szCs w:val="20"/>
              </w:rPr>
            </w:pPr>
          </w:p>
          <w:p>
            <w:pPr>
              <w:ind w:firstLine="480" w:firstLineChars="200"/>
              <w:rPr>
                <w:rFonts w:eastAsia="宋体" w:cs="Times New Roman"/>
                <w:kern w:val="0"/>
                <w:szCs w:val="20"/>
              </w:rPr>
            </w:pPr>
            <w:bookmarkStart w:id="8" w:name="_Hlk121729272"/>
            <w:r>
              <w:rPr>
                <w:rFonts w:hint="eastAsia" w:eastAsia="宋体" w:cs="Times New Roman"/>
                <w:szCs w:val="21"/>
              </w:rPr>
              <w:t>平利县康恒石油科技有限公司</w:t>
            </w:r>
            <w:bookmarkEnd w:id="8"/>
            <w:bookmarkStart w:id="9" w:name="_Hlk121731307"/>
            <w:r>
              <w:rPr>
                <w:rFonts w:hint="eastAsia" w:eastAsia="宋体" w:cs="Times New Roman"/>
                <w:kern w:val="0"/>
                <w:szCs w:val="21"/>
              </w:rPr>
              <w:t>年产20万吨重晶石粉加工、10万吨石英石加工项目</w:t>
            </w:r>
            <w:bookmarkEnd w:id="9"/>
            <w:r>
              <w:rPr>
                <w:rFonts w:hint="eastAsia" w:eastAsia="宋体" w:cs="Times New Roman"/>
                <w:kern w:val="0"/>
                <w:szCs w:val="20"/>
              </w:rPr>
              <w:t>符合国家产业政策，生产过程中污染物排放量较小，项目运营期产生的废气、废水、噪声和固体废物等污染物在采取环评要求的处理处置措施后，各污染物均能达标排放/合理处置，对周围环境影响较小。从环保的角度分析，该项目建设环境影响可行。</w:t>
            </w:r>
          </w:p>
          <w:p>
            <w:pPr>
              <w:ind w:firstLine="480" w:firstLineChars="200"/>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rPr>
                <w:rFonts w:eastAsia="宋体" w:cs="Times New Roman"/>
                <w:kern w:val="0"/>
                <w:szCs w:val="20"/>
              </w:rPr>
            </w:pPr>
          </w:p>
          <w:p>
            <w:pPr>
              <w:pStyle w:val="2"/>
              <w:outlineLvl w:val="1"/>
            </w:pPr>
          </w:p>
          <w:p/>
          <w:p>
            <w:pPr>
              <w:rPr>
                <w:rFonts w:eastAsia="宋体" w:cs="Times New Roman"/>
                <w:kern w:val="0"/>
                <w:szCs w:val="20"/>
              </w:rPr>
            </w:pPr>
          </w:p>
          <w:p>
            <w:pPr>
              <w:pStyle w:val="27"/>
              <w:rPr>
                <w:rFonts w:eastAsia="宋体" w:cs="Times New Roman"/>
                <w:kern w:val="0"/>
                <w:sz w:val="20"/>
                <w:szCs w:val="20"/>
              </w:rPr>
            </w:pPr>
          </w:p>
          <w:p>
            <w:pPr>
              <w:pStyle w:val="27"/>
              <w:rPr>
                <w:rFonts w:eastAsia="宋体" w:cs="Times New Roman"/>
                <w:kern w:val="0"/>
                <w:sz w:val="20"/>
                <w:szCs w:val="20"/>
              </w:rPr>
            </w:pPr>
          </w:p>
          <w:p>
            <w:pPr>
              <w:pStyle w:val="27"/>
              <w:rPr>
                <w:rFonts w:eastAsia="宋体" w:cs="Times New Roman"/>
                <w:kern w:val="0"/>
                <w:sz w:val="20"/>
                <w:szCs w:val="20"/>
              </w:rPr>
            </w:pPr>
          </w:p>
          <w:p>
            <w:pPr>
              <w:pStyle w:val="27"/>
              <w:rPr>
                <w:rFonts w:eastAsia="宋体" w:cs="Times New Roman"/>
                <w:kern w:val="0"/>
                <w:sz w:val="20"/>
                <w:szCs w:val="20"/>
              </w:rPr>
            </w:pPr>
          </w:p>
          <w:p>
            <w:pPr>
              <w:pStyle w:val="27"/>
              <w:rPr>
                <w:rFonts w:eastAsia="宋体" w:cs="Times New Roman"/>
                <w:kern w:val="0"/>
                <w:sz w:val="20"/>
                <w:szCs w:val="20"/>
              </w:rPr>
            </w:pPr>
          </w:p>
          <w:p>
            <w:pPr>
              <w:pStyle w:val="27"/>
              <w:rPr>
                <w:rFonts w:eastAsia="宋体" w:cs="Times New Roman"/>
                <w:kern w:val="0"/>
                <w:sz w:val="20"/>
                <w:szCs w:val="20"/>
              </w:rPr>
            </w:pPr>
          </w:p>
          <w:p>
            <w:pPr>
              <w:pStyle w:val="27"/>
              <w:rPr>
                <w:rFonts w:eastAsia="宋体" w:cs="Times New Roman"/>
                <w:kern w:val="0"/>
                <w:sz w:val="20"/>
                <w:szCs w:val="20"/>
              </w:rPr>
            </w:pPr>
          </w:p>
        </w:tc>
      </w:tr>
    </w:tbl>
    <w:p>
      <w:pPr>
        <w:pStyle w:val="27"/>
        <w:sectPr>
          <w:pgSz w:w="11906" w:h="16838"/>
          <w:pgMar w:top="1440" w:right="1800" w:bottom="1440" w:left="1800" w:header="851" w:footer="992" w:gutter="0"/>
          <w:pgNumType w:fmt="numberInDash"/>
          <w:cols w:space="425" w:num="1"/>
          <w:docGrid w:type="lines" w:linePitch="312" w:charSpace="0"/>
        </w:sectPr>
      </w:pPr>
    </w:p>
    <w:p>
      <w:pPr>
        <w:pStyle w:val="16"/>
        <w:adjustRightInd w:val="0"/>
        <w:snapToGrid w:val="0"/>
        <w:spacing w:before="0" w:beforeAutospacing="0" w:after="0" w:afterAutospacing="0" w:line="360" w:lineRule="auto"/>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附表</w:t>
      </w:r>
    </w:p>
    <w:p>
      <w:pPr>
        <w:pStyle w:val="16"/>
        <w:adjustRightInd w:val="0"/>
        <w:snapToGrid w:val="0"/>
        <w:spacing w:before="0" w:beforeAutospacing="0" w:after="0" w:afterAutospacing="0" w:line="360" w:lineRule="auto"/>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352"/>
        <w:gridCol w:w="1766"/>
        <w:gridCol w:w="1276"/>
        <w:gridCol w:w="1701"/>
        <w:gridCol w:w="1559"/>
        <w:gridCol w:w="1761"/>
        <w:gridCol w:w="1641"/>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trPr>
        <w:tc>
          <w:tcPr>
            <w:tcW w:w="1588" w:type="dxa"/>
            <w:tcBorders>
              <w:tl2br w:val="single" w:color="auto" w:sz="4" w:space="0"/>
            </w:tcBorders>
            <w:tcMar>
              <w:left w:w="28" w:type="dxa"/>
              <w:right w:w="28" w:type="dxa"/>
            </w:tcMar>
            <w:vAlign w:val="center"/>
          </w:tcPr>
          <w:p>
            <w:pPr>
              <w:pStyle w:val="48"/>
              <w:spacing w:beforeLines="0" w:afterLines="0" w:line="240" w:lineRule="auto"/>
              <w:jc w:val="righ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项目</w:t>
            </w:r>
          </w:p>
          <w:p>
            <w:pPr>
              <w:pStyle w:val="48"/>
              <w:spacing w:beforeLines="0" w:afterLines="0" w:line="240" w:lineRule="auto"/>
              <w:jc w:val="lef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分类</w:t>
            </w:r>
          </w:p>
        </w:tc>
        <w:tc>
          <w:tcPr>
            <w:tcW w:w="1352" w:type="dxa"/>
            <w:tcMar>
              <w:left w:w="28" w:type="dxa"/>
              <w:right w:w="28" w:type="dxa"/>
            </w:tcMar>
            <w:vAlign w:val="center"/>
          </w:tcPr>
          <w:p>
            <w:pPr>
              <w:pStyle w:val="48"/>
              <w:spacing w:beforeLines="0" w:afterLines="0" w:line="240" w:lineRule="auto"/>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污染物名称</w:t>
            </w:r>
          </w:p>
        </w:tc>
        <w:tc>
          <w:tcPr>
            <w:tcW w:w="1766"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1 \* GB3 \* MERGEFORMAT </w:instrText>
            </w:r>
            <w:r>
              <w:rPr>
                <w:rFonts w:ascii="黑体" w:hAnsi="黑体" w:eastAsia="黑体"/>
                <w:snapToGrid w:val="0"/>
                <w:spacing w:val="-6"/>
                <w:kern w:val="21"/>
                <w:szCs w:val="21"/>
              </w:rPr>
              <w:fldChar w:fldCharType="separate"/>
            </w:r>
            <w:r>
              <w:rPr>
                <w:rFonts w:hint="eastAsia" w:ascii="黑体" w:hAnsi="黑体" w:eastAsia="黑体" w:cs="宋体"/>
                <w:szCs w:val="21"/>
              </w:rPr>
              <w:t>①</w:t>
            </w:r>
            <w:r>
              <w:rPr>
                <w:rFonts w:ascii="黑体" w:hAnsi="黑体" w:eastAsia="黑体"/>
                <w:snapToGrid w:val="0"/>
                <w:spacing w:val="-6"/>
                <w:kern w:val="21"/>
                <w:szCs w:val="21"/>
              </w:rPr>
              <w:fldChar w:fldCharType="end"/>
            </w:r>
          </w:p>
        </w:tc>
        <w:tc>
          <w:tcPr>
            <w:tcW w:w="1276"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许可排放量</w:t>
            </w:r>
          </w:p>
          <w:p>
            <w:pPr>
              <w:pStyle w:val="48"/>
              <w:spacing w:beforeLines="0" w:afterLines="0"/>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2 \* GB3 \* MERGEFORMAT </w:instrText>
            </w:r>
            <w:r>
              <w:rPr>
                <w:rFonts w:ascii="黑体" w:hAnsi="黑体" w:eastAsia="黑体"/>
                <w:snapToGrid w:val="0"/>
                <w:spacing w:val="-6"/>
                <w:kern w:val="21"/>
                <w:szCs w:val="21"/>
              </w:rPr>
              <w:fldChar w:fldCharType="separate"/>
            </w:r>
            <w:r>
              <w:rPr>
                <w:rFonts w:hint="eastAsia" w:ascii="黑体" w:hAnsi="黑体" w:eastAsia="黑体" w:cs="宋体"/>
                <w:snapToGrid w:val="0"/>
                <w:spacing w:val="-6"/>
                <w:kern w:val="21"/>
                <w:szCs w:val="21"/>
              </w:rPr>
              <w:t>②</w:t>
            </w:r>
            <w:r>
              <w:rPr>
                <w:rFonts w:ascii="黑体" w:hAnsi="黑体" w:eastAsia="黑体"/>
                <w:snapToGrid w:val="0"/>
                <w:spacing w:val="-6"/>
                <w:kern w:val="21"/>
                <w:szCs w:val="21"/>
              </w:rPr>
              <w:fldChar w:fldCharType="end"/>
            </w:r>
          </w:p>
        </w:tc>
        <w:tc>
          <w:tcPr>
            <w:tcW w:w="1701"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在建工程</w:t>
            </w:r>
          </w:p>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3 \* GB3 \* MERGEFORMAT </w:instrText>
            </w:r>
            <w:r>
              <w:rPr>
                <w:rFonts w:ascii="黑体" w:hAnsi="黑体" w:eastAsia="黑体"/>
                <w:snapToGrid w:val="0"/>
                <w:spacing w:val="-6"/>
                <w:kern w:val="21"/>
                <w:szCs w:val="21"/>
              </w:rPr>
              <w:fldChar w:fldCharType="separate"/>
            </w:r>
            <w:r>
              <w:rPr>
                <w:rFonts w:hint="eastAsia" w:ascii="黑体" w:hAnsi="黑体" w:eastAsia="黑体" w:cs="宋体"/>
                <w:szCs w:val="21"/>
              </w:rPr>
              <w:t>③</w:t>
            </w:r>
            <w:r>
              <w:rPr>
                <w:rFonts w:ascii="黑体" w:hAnsi="黑体" w:eastAsia="黑体"/>
                <w:snapToGrid w:val="0"/>
                <w:spacing w:val="-6"/>
                <w:kern w:val="21"/>
                <w:szCs w:val="21"/>
              </w:rPr>
              <w:fldChar w:fldCharType="end"/>
            </w:r>
          </w:p>
        </w:tc>
        <w:tc>
          <w:tcPr>
            <w:tcW w:w="1559"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本项目</w:t>
            </w:r>
          </w:p>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4 \* GB3 \* MERGEFORMAT </w:instrText>
            </w:r>
            <w:r>
              <w:rPr>
                <w:rFonts w:ascii="黑体" w:hAnsi="黑体" w:eastAsia="黑体"/>
                <w:snapToGrid w:val="0"/>
                <w:spacing w:val="-6"/>
                <w:kern w:val="21"/>
                <w:szCs w:val="21"/>
              </w:rPr>
              <w:fldChar w:fldCharType="separate"/>
            </w:r>
            <w:r>
              <w:rPr>
                <w:rFonts w:hint="eastAsia" w:ascii="黑体" w:hAnsi="黑体" w:eastAsia="黑体" w:cs="宋体"/>
                <w:szCs w:val="21"/>
              </w:rPr>
              <w:t>④</w:t>
            </w:r>
            <w:r>
              <w:rPr>
                <w:rFonts w:ascii="黑体" w:hAnsi="黑体" w:eastAsia="黑体"/>
                <w:snapToGrid w:val="0"/>
                <w:spacing w:val="-6"/>
                <w:kern w:val="21"/>
                <w:szCs w:val="21"/>
              </w:rPr>
              <w:fldChar w:fldCharType="end"/>
            </w:r>
          </w:p>
        </w:tc>
        <w:tc>
          <w:tcPr>
            <w:tcW w:w="1761" w:type="dxa"/>
            <w:tcMar>
              <w:left w:w="28" w:type="dxa"/>
              <w:right w:w="28" w:type="dxa"/>
            </w:tcMar>
            <w:vAlign w:val="center"/>
          </w:tcPr>
          <w:p>
            <w:pPr>
              <w:pStyle w:val="48"/>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以新带老削减量</w:t>
            </w:r>
          </w:p>
          <w:p>
            <w:pPr>
              <w:pStyle w:val="48"/>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（新建项目不填）</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5 \* GB3 \* MERGEFORMAT </w:instrText>
            </w:r>
            <w:r>
              <w:rPr>
                <w:rFonts w:ascii="黑体" w:hAnsi="黑体" w:eastAsia="黑体"/>
                <w:snapToGrid w:val="0"/>
                <w:spacing w:val="-16"/>
                <w:kern w:val="21"/>
                <w:szCs w:val="21"/>
              </w:rPr>
              <w:fldChar w:fldCharType="separate"/>
            </w:r>
            <w:r>
              <w:rPr>
                <w:rFonts w:hint="eastAsia" w:ascii="黑体" w:hAnsi="黑体" w:eastAsia="黑体" w:cs="宋体"/>
                <w:szCs w:val="21"/>
              </w:rPr>
              <w:t>⑤</w:t>
            </w:r>
            <w:r>
              <w:rPr>
                <w:rFonts w:ascii="黑体" w:hAnsi="黑体" w:eastAsia="黑体"/>
                <w:snapToGrid w:val="0"/>
                <w:spacing w:val="-16"/>
                <w:kern w:val="21"/>
                <w:szCs w:val="21"/>
              </w:rPr>
              <w:fldChar w:fldCharType="end"/>
            </w:r>
          </w:p>
        </w:tc>
        <w:tc>
          <w:tcPr>
            <w:tcW w:w="1641" w:type="dxa"/>
            <w:tcMar>
              <w:left w:w="28" w:type="dxa"/>
              <w:right w:w="28" w:type="dxa"/>
            </w:tcMar>
            <w:vAlign w:val="center"/>
          </w:tcPr>
          <w:p>
            <w:pPr>
              <w:pStyle w:val="48"/>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本项目建成后</w:t>
            </w:r>
          </w:p>
          <w:p>
            <w:pPr>
              <w:pStyle w:val="48"/>
              <w:spacing w:beforeLines="0" w:afterLines="0" w:line="240" w:lineRule="auto"/>
              <w:rPr>
                <w:rFonts w:ascii="黑体" w:hAnsi="黑体" w:eastAsia="黑体"/>
                <w:snapToGrid w:val="0"/>
                <w:spacing w:val="-16"/>
                <w:kern w:val="21"/>
                <w:szCs w:val="21"/>
              </w:rPr>
            </w:pPr>
            <w:r>
              <w:rPr>
                <w:rFonts w:hint="eastAsia" w:ascii="黑体" w:hAnsi="黑体" w:eastAsia="黑体"/>
                <w:snapToGrid w:val="0"/>
                <w:spacing w:val="-16"/>
                <w:kern w:val="21"/>
                <w:szCs w:val="21"/>
              </w:rPr>
              <w:t>全厂</w:t>
            </w:r>
            <w:r>
              <w:rPr>
                <w:rFonts w:ascii="黑体" w:hAnsi="黑体" w:eastAsia="黑体"/>
                <w:snapToGrid w:val="0"/>
                <w:spacing w:val="-16"/>
                <w:kern w:val="21"/>
                <w:szCs w:val="21"/>
              </w:rPr>
              <w:t>排放量（固</w:t>
            </w:r>
            <w:r>
              <w:rPr>
                <w:rFonts w:hint="eastAsia" w:ascii="黑体" w:hAnsi="黑体" w:eastAsia="黑体"/>
                <w:snapToGrid w:val="0"/>
                <w:spacing w:val="-16"/>
                <w:kern w:val="21"/>
                <w:szCs w:val="21"/>
              </w:rPr>
              <w:t>体</w:t>
            </w:r>
            <w:r>
              <w:rPr>
                <w:rFonts w:ascii="黑体" w:hAnsi="黑体" w:eastAsia="黑体"/>
                <w:snapToGrid w:val="0"/>
                <w:spacing w:val="-16"/>
                <w:kern w:val="21"/>
                <w:szCs w:val="21"/>
              </w:rPr>
              <w:t>废</w:t>
            </w:r>
            <w:r>
              <w:rPr>
                <w:rFonts w:hint="eastAsia" w:ascii="黑体" w:hAnsi="黑体" w:eastAsia="黑体"/>
                <w:snapToGrid w:val="0"/>
                <w:spacing w:val="-16"/>
                <w:kern w:val="21"/>
                <w:szCs w:val="21"/>
              </w:rPr>
              <w:t>物</w:t>
            </w:r>
            <w:r>
              <w:rPr>
                <w:rFonts w:ascii="黑体" w:hAnsi="黑体" w:eastAsia="黑体"/>
                <w:snapToGrid w:val="0"/>
                <w:spacing w:val="-16"/>
                <w:kern w:val="21"/>
                <w:szCs w:val="21"/>
              </w:rPr>
              <w:t>产生量）</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6 \* GB3 \* MERGEFORMAT </w:instrText>
            </w:r>
            <w:r>
              <w:rPr>
                <w:rFonts w:ascii="黑体" w:hAnsi="黑体" w:eastAsia="黑体"/>
                <w:snapToGrid w:val="0"/>
                <w:spacing w:val="-16"/>
                <w:kern w:val="21"/>
                <w:szCs w:val="21"/>
              </w:rPr>
              <w:fldChar w:fldCharType="separate"/>
            </w:r>
            <w:r>
              <w:rPr>
                <w:rFonts w:hint="eastAsia" w:ascii="黑体" w:hAnsi="黑体" w:eastAsia="黑体" w:cs="宋体"/>
                <w:szCs w:val="21"/>
              </w:rPr>
              <w:t>⑥</w:t>
            </w:r>
            <w:r>
              <w:rPr>
                <w:rFonts w:ascii="黑体" w:hAnsi="黑体" w:eastAsia="黑体"/>
                <w:snapToGrid w:val="0"/>
                <w:spacing w:val="-16"/>
                <w:kern w:val="21"/>
                <w:szCs w:val="21"/>
              </w:rPr>
              <w:fldChar w:fldCharType="end"/>
            </w:r>
          </w:p>
        </w:tc>
        <w:tc>
          <w:tcPr>
            <w:tcW w:w="1144"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变化量</w:t>
            </w:r>
          </w:p>
          <w:p>
            <w:pPr>
              <w:pStyle w:val="48"/>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7 \* GB3 \* MERGEFORMAT </w:instrText>
            </w:r>
            <w:r>
              <w:rPr>
                <w:rFonts w:ascii="黑体" w:hAnsi="黑体" w:eastAsia="黑体"/>
                <w:snapToGrid w:val="0"/>
                <w:spacing w:val="-6"/>
                <w:kern w:val="21"/>
                <w:szCs w:val="21"/>
              </w:rPr>
              <w:fldChar w:fldCharType="separate"/>
            </w:r>
            <w:r>
              <w:rPr>
                <w:rFonts w:hint="eastAsia" w:ascii="黑体" w:hAnsi="黑体" w:eastAsia="黑体" w:cs="宋体"/>
                <w:szCs w:val="21"/>
              </w:rPr>
              <w:t>⑦</w:t>
            </w:r>
            <w:r>
              <w:rPr>
                <w:rFonts w:ascii="黑体" w:hAnsi="黑体"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7"/>
              <w:jc w:val="center"/>
              <w:rPr>
                <w:snapToGrid w:val="0"/>
              </w:rPr>
            </w:pPr>
            <w:r>
              <w:rPr>
                <w:rFonts w:hint="eastAsia"/>
                <w:snapToGrid w:val="0"/>
              </w:rPr>
              <w:t>废气</w:t>
            </w:r>
          </w:p>
        </w:tc>
        <w:tc>
          <w:tcPr>
            <w:tcW w:w="1352" w:type="dxa"/>
            <w:vAlign w:val="center"/>
          </w:tcPr>
          <w:p>
            <w:pPr>
              <w:pStyle w:val="27"/>
              <w:jc w:val="center"/>
              <w:rPr>
                <w:snapToGrid w:val="0"/>
              </w:rPr>
            </w:pPr>
            <w:r>
              <w:rPr>
                <w:rFonts w:hint="eastAsia"/>
                <w:snapToGrid w:val="0"/>
              </w:rPr>
              <w:t>颗粒物</w:t>
            </w:r>
          </w:p>
        </w:tc>
        <w:tc>
          <w:tcPr>
            <w:tcW w:w="1766" w:type="dxa"/>
            <w:vAlign w:val="center"/>
          </w:tcPr>
          <w:p>
            <w:pPr>
              <w:jc w:val="center"/>
              <w:rPr>
                <w:snapToGrid w:val="0"/>
              </w:rPr>
            </w:pPr>
            <w:r>
              <w:rPr>
                <w:snapToGrid w:val="0"/>
              </w:rPr>
              <w:t>/</w:t>
            </w:r>
          </w:p>
        </w:tc>
        <w:tc>
          <w:tcPr>
            <w:tcW w:w="1276" w:type="dxa"/>
            <w:vAlign w:val="center"/>
          </w:tcPr>
          <w:p>
            <w:pPr>
              <w:jc w:val="center"/>
              <w:rPr>
                <w:snapToGrid w:val="0"/>
              </w:rPr>
            </w:pPr>
            <w:r>
              <w:rPr>
                <w:snapToGrid w:val="0"/>
              </w:rPr>
              <w:t>/</w:t>
            </w:r>
          </w:p>
        </w:tc>
        <w:tc>
          <w:tcPr>
            <w:tcW w:w="1701" w:type="dxa"/>
            <w:vAlign w:val="center"/>
          </w:tcPr>
          <w:p>
            <w:pPr>
              <w:jc w:val="center"/>
              <w:rPr>
                <w:snapToGrid w:val="0"/>
              </w:rPr>
            </w:pPr>
            <w:r>
              <w:rPr>
                <w:snapToGrid w:val="0"/>
              </w:rPr>
              <w:t>/</w:t>
            </w:r>
          </w:p>
        </w:tc>
        <w:tc>
          <w:tcPr>
            <w:tcW w:w="1559" w:type="dxa"/>
            <w:vAlign w:val="center"/>
          </w:tcPr>
          <w:p>
            <w:pPr>
              <w:pStyle w:val="27"/>
              <w:jc w:val="center"/>
              <w:rPr>
                <w:snapToGrid w:val="0"/>
              </w:rPr>
            </w:pPr>
            <w:r>
              <w:rPr>
                <w:rFonts w:hint="eastAsia"/>
                <w:snapToGrid w:val="0"/>
              </w:rPr>
              <w:t>8.27</w:t>
            </w:r>
            <w:r>
              <w:rPr>
                <w:snapToGrid w:val="0"/>
              </w:rPr>
              <w:t>t/a</w:t>
            </w:r>
          </w:p>
        </w:tc>
        <w:tc>
          <w:tcPr>
            <w:tcW w:w="1761" w:type="dxa"/>
            <w:vAlign w:val="center"/>
          </w:tcPr>
          <w:p>
            <w:pPr>
              <w:pStyle w:val="27"/>
              <w:jc w:val="center"/>
              <w:rPr>
                <w:snapToGrid w:val="0"/>
              </w:rPr>
            </w:pPr>
            <w:r>
              <w:rPr>
                <w:snapToGrid w:val="0"/>
              </w:rPr>
              <w:t>/</w:t>
            </w:r>
          </w:p>
        </w:tc>
        <w:tc>
          <w:tcPr>
            <w:tcW w:w="1641" w:type="dxa"/>
            <w:vAlign w:val="center"/>
          </w:tcPr>
          <w:p>
            <w:pPr>
              <w:pStyle w:val="27"/>
              <w:jc w:val="center"/>
              <w:rPr>
                <w:snapToGrid w:val="0"/>
              </w:rPr>
            </w:pPr>
            <w:r>
              <w:rPr>
                <w:rFonts w:hint="eastAsia"/>
                <w:snapToGrid w:val="0"/>
              </w:rPr>
              <w:t>8.27</w:t>
            </w:r>
            <w:r>
              <w:rPr>
                <w:snapToGrid w:val="0"/>
              </w:rPr>
              <w:t>t/a</w:t>
            </w:r>
          </w:p>
        </w:tc>
        <w:tc>
          <w:tcPr>
            <w:tcW w:w="1144" w:type="dxa"/>
            <w:vAlign w:val="center"/>
          </w:tcPr>
          <w:p>
            <w:pPr>
              <w:pStyle w:val="27"/>
              <w:jc w:val="center"/>
              <w:rPr>
                <w:snapToGrid w:val="0"/>
              </w:rPr>
            </w:pPr>
            <w:r>
              <w:rPr>
                <w:rFonts w:hint="eastAsia"/>
                <w:snapToGrid w:val="0"/>
              </w:rPr>
              <w:t>+8.27</w:t>
            </w:r>
            <w:r>
              <w:rPr>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7"/>
              <w:jc w:val="center"/>
              <w:rPr>
                <w:snapToGrid w:val="0"/>
              </w:rPr>
            </w:pPr>
          </w:p>
        </w:tc>
        <w:tc>
          <w:tcPr>
            <w:tcW w:w="1352" w:type="dxa"/>
            <w:vAlign w:val="center"/>
          </w:tcPr>
          <w:p>
            <w:pPr>
              <w:pStyle w:val="27"/>
              <w:jc w:val="center"/>
              <w:rPr>
                <w:snapToGrid w:val="0"/>
              </w:rPr>
            </w:pPr>
            <w:r>
              <w:rPr>
                <w:snapToGrid w:val="0"/>
              </w:rPr>
              <w:t>/</w:t>
            </w:r>
          </w:p>
        </w:tc>
        <w:tc>
          <w:tcPr>
            <w:tcW w:w="1766" w:type="dxa"/>
            <w:vAlign w:val="center"/>
          </w:tcPr>
          <w:p>
            <w:pPr>
              <w:jc w:val="center"/>
              <w:rPr>
                <w:snapToGrid w:val="0"/>
              </w:rPr>
            </w:pPr>
            <w:r>
              <w:rPr>
                <w:snapToGrid w:val="0"/>
              </w:rPr>
              <w:t>/</w:t>
            </w:r>
          </w:p>
        </w:tc>
        <w:tc>
          <w:tcPr>
            <w:tcW w:w="1276" w:type="dxa"/>
            <w:vAlign w:val="center"/>
          </w:tcPr>
          <w:p>
            <w:pPr>
              <w:jc w:val="center"/>
              <w:rPr>
                <w:snapToGrid w:val="0"/>
              </w:rPr>
            </w:pPr>
            <w:r>
              <w:rPr>
                <w:snapToGrid w:val="0"/>
              </w:rPr>
              <w:t>/</w:t>
            </w:r>
          </w:p>
        </w:tc>
        <w:tc>
          <w:tcPr>
            <w:tcW w:w="1701" w:type="dxa"/>
            <w:vAlign w:val="center"/>
          </w:tcPr>
          <w:p>
            <w:pPr>
              <w:jc w:val="center"/>
              <w:rPr>
                <w:snapToGrid w:val="0"/>
              </w:rPr>
            </w:pPr>
            <w:r>
              <w:rPr>
                <w:snapToGrid w:val="0"/>
              </w:rPr>
              <w:t>/</w:t>
            </w:r>
          </w:p>
        </w:tc>
        <w:tc>
          <w:tcPr>
            <w:tcW w:w="1559" w:type="dxa"/>
            <w:vAlign w:val="center"/>
          </w:tcPr>
          <w:p>
            <w:pPr>
              <w:pStyle w:val="27"/>
              <w:jc w:val="center"/>
              <w:rPr>
                <w:snapToGrid w:val="0"/>
              </w:rPr>
            </w:pPr>
            <w:r>
              <w:rPr>
                <w:rFonts w:hint="eastAsia"/>
                <w:snapToGrid w:val="0"/>
              </w:rPr>
              <w:t>/</w:t>
            </w:r>
          </w:p>
        </w:tc>
        <w:tc>
          <w:tcPr>
            <w:tcW w:w="1761" w:type="dxa"/>
            <w:vAlign w:val="center"/>
          </w:tcPr>
          <w:p>
            <w:pPr>
              <w:jc w:val="center"/>
              <w:rPr>
                <w:snapToGrid w:val="0"/>
              </w:rPr>
            </w:pPr>
            <w:r>
              <w:rPr>
                <w:snapToGrid w:val="0"/>
              </w:rPr>
              <w:t>/</w:t>
            </w:r>
          </w:p>
        </w:tc>
        <w:tc>
          <w:tcPr>
            <w:tcW w:w="1641" w:type="dxa"/>
            <w:vAlign w:val="center"/>
          </w:tcPr>
          <w:p>
            <w:pPr>
              <w:pStyle w:val="27"/>
              <w:jc w:val="center"/>
              <w:rPr>
                <w:snapToGrid w:val="0"/>
              </w:rPr>
            </w:pPr>
            <w:r>
              <w:rPr>
                <w:rFonts w:hint="eastAsia"/>
                <w:snapToGrid w:val="0"/>
              </w:rPr>
              <w:t>/</w:t>
            </w:r>
          </w:p>
        </w:tc>
        <w:tc>
          <w:tcPr>
            <w:tcW w:w="1144" w:type="dxa"/>
            <w:vAlign w:val="center"/>
          </w:tcPr>
          <w:p>
            <w:pPr>
              <w:pStyle w:val="27"/>
              <w:jc w:val="center"/>
              <w:rPr>
                <w:snapToGrid w:val="0"/>
              </w:rPr>
            </w:pPr>
            <w:r>
              <w:rPr>
                <w:rFonts w:hint="eastAsia"/>
                <w:snapToGrid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7"/>
              <w:jc w:val="center"/>
              <w:rPr>
                <w:snapToGrid w:val="0"/>
              </w:rPr>
            </w:pPr>
            <w:r>
              <w:rPr>
                <w:rFonts w:hint="eastAsia"/>
                <w:snapToGrid w:val="0"/>
              </w:rPr>
              <w:t>废水</w:t>
            </w:r>
          </w:p>
        </w:tc>
        <w:tc>
          <w:tcPr>
            <w:tcW w:w="1352" w:type="dxa"/>
            <w:vAlign w:val="center"/>
          </w:tcPr>
          <w:p>
            <w:pPr>
              <w:pStyle w:val="27"/>
              <w:jc w:val="center"/>
              <w:rPr>
                <w:snapToGrid w:val="0"/>
              </w:rPr>
            </w:pPr>
            <w:r>
              <w:rPr>
                <w:rFonts w:hint="eastAsia"/>
                <w:snapToGrid w:val="0"/>
              </w:rPr>
              <w:t>车辆冲洗废水</w:t>
            </w:r>
          </w:p>
        </w:tc>
        <w:tc>
          <w:tcPr>
            <w:tcW w:w="1766" w:type="dxa"/>
            <w:vAlign w:val="center"/>
          </w:tcPr>
          <w:p>
            <w:pPr>
              <w:jc w:val="center"/>
              <w:rPr>
                <w:snapToGrid w:val="0"/>
              </w:rPr>
            </w:pPr>
            <w:r>
              <w:rPr>
                <w:snapToGrid w:val="0"/>
              </w:rPr>
              <w:t>/</w:t>
            </w:r>
          </w:p>
        </w:tc>
        <w:tc>
          <w:tcPr>
            <w:tcW w:w="1276" w:type="dxa"/>
            <w:vAlign w:val="center"/>
          </w:tcPr>
          <w:p>
            <w:pPr>
              <w:jc w:val="center"/>
              <w:rPr>
                <w:snapToGrid w:val="0"/>
              </w:rPr>
            </w:pPr>
            <w:r>
              <w:rPr>
                <w:snapToGrid w:val="0"/>
              </w:rPr>
              <w:t>/</w:t>
            </w:r>
          </w:p>
        </w:tc>
        <w:tc>
          <w:tcPr>
            <w:tcW w:w="1701" w:type="dxa"/>
            <w:vAlign w:val="center"/>
          </w:tcPr>
          <w:p>
            <w:pPr>
              <w:jc w:val="center"/>
              <w:rPr>
                <w:snapToGrid w:val="0"/>
              </w:rPr>
            </w:pPr>
            <w:r>
              <w:rPr>
                <w:snapToGrid w:val="0"/>
              </w:rPr>
              <w:t>/</w:t>
            </w:r>
          </w:p>
        </w:tc>
        <w:tc>
          <w:tcPr>
            <w:tcW w:w="1559" w:type="dxa"/>
            <w:vAlign w:val="center"/>
          </w:tcPr>
          <w:p>
            <w:pPr>
              <w:pStyle w:val="27"/>
              <w:jc w:val="center"/>
              <w:rPr>
                <w:snapToGrid w:val="0"/>
              </w:rPr>
            </w:pPr>
            <w:r>
              <w:rPr>
                <w:snapToGrid w:val="0"/>
              </w:rPr>
              <w:t>/</w:t>
            </w:r>
          </w:p>
        </w:tc>
        <w:tc>
          <w:tcPr>
            <w:tcW w:w="1761" w:type="dxa"/>
            <w:vAlign w:val="center"/>
          </w:tcPr>
          <w:p>
            <w:pPr>
              <w:jc w:val="center"/>
              <w:rPr>
                <w:snapToGrid w:val="0"/>
              </w:rPr>
            </w:pPr>
            <w:r>
              <w:rPr>
                <w:snapToGrid w:val="0"/>
              </w:rPr>
              <w:t>/</w:t>
            </w:r>
          </w:p>
        </w:tc>
        <w:tc>
          <w:tcPr>
            <w:tcW w:w="1641" w:type="dxa"/>
            <w:vAlign w:val="center"/>
          </w:tcPr>
          <w:p>
            <w:pPr>
              <w:pStyle w:val="27"/>
              <w:jc w:val="center"/>
              <w:rPr>
                <w:snapToGrid w:val="0"/>
              </w:rPr>
            </w:pPr>
            <w:r>
              <w:rPr>
                <w:snapToGrid w:val="0"/>
              </w:rPr>
              <w:t>/</w:t>
            </w:r>
          </w:p>
        </w:tc>
        <w:tc>
          <w:tcPr>
            <w:tcW w:w="1144" w:type="dxa"/>
            <w:vAlign w:val="center"/>
          </w:tcPr>
          <w:p>
            <w:pPr>
              <w:pStyle w:val="27"/>
              <w:jc w:val="center"/>
              <w:rPr>
                <w:snapToGrid w:val="0"/>
              </w:rPr>
            </w:pPr>
            <w:r>
              <w:rPr>
                <w:rFonts w:hint="eastAsia"/>
                <w:snapToGrid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7"/>
              <w:jc w:val="center"/>
              <w:rPr>
                <w:snapToGrid w:val="0"/>
              </w:rPr>
            </w:pPr>
          </w:p>
        </w:tc>
        <w:tc>
          <w:tcPr>
            <w:tcW w:w="1352" w:type="dxa"/>
            <w:vAlign w:val="center"/>
          </w:tcPr>
          <w:p>
            <w:pPr>
              <w:pStyle w:val="27"/>
              <w:jc w:val="center"/>
              <w:rPr>
                <w:snapToGrid w:val="0"/>
              </w:rPr>
            </w:pPr>
            <w:r>
              <w:rPr>
                <w:rFonts w:hint="eastAsia"/>
                <w:snapToGrid w:val="0"/>
              </w:rPr>
              <w:t>生活污水</w:t>
            </w:r>
          </w:p>
        </w:tc>
        <w:tc>
          <w:tcPr>
            <w:tcW w:w="1766" w:type="dxa"/>
            <w:vAlign w:val="center"/>
          </w:tcPr>
          <w:p>
            <w:pPr>
              <w:jc w:val="center"/>
              <w:rPr>
                <w:snapToGrid w:val="0"/>
              </w:rPr>
            </w:pPr>
            <w:r>
              <w:rPr>
                <w:snapToGrid w:val="0"/>
              </w:rPr>
              <w:t>/</w:t>
            </w:r>
          </w:p>
        </w:tc>
        <w:tc>
          <w:tcPr>
            <w:tcW w:w="1276" w:type="dxa"/>
            <w:vAlign w:val="center"/>
          </w:tcPr>
          <w:p>
            <w:pPr>
              <w:jc w:val="center"/>
              <w:rPr>
                <w:snapToGrid w:val="0"/>
              </w:rPr>
            </w:pPr>
            <w:r>
              <w:rPr>
                <w:snapToGrid w:val="0"/>
              </w:rPr>
              <w:t>/</w:t>
            </w:r>
          </w:p>
        </w:tc>
        <w:tc>
          <w:tcPr>
            <w:tcW w:w="1701" w:type="dxa"/>
            <w:vAlign w:val="center"/>
          </w:tcPr>
          <w:p>
            <w:pPr>
              <w:jc w:val="center"/>
              <w:rPr>
                <w:snapToGrid w:val="0"/>
              </w:rPr>
            </w:pPr>
            <w:r>
              <w:rPr>
                <w:snapToGrid w:val="0"/>
              </w:rPr>
              <w:t>/</w:t>
            </w:r>
          </w:p>
        </w:tc>
        <w:tc>
          <w:tcPr>
            <w:tcW w:w="1559" w:type="dxa"/>
            <w:vAlign w:val="center"/>
          </w:tcPr>
          <w:p>
            <w:pPr>
              <w:pStyle w:val="27"/>
              <w:jc w:val="center"/>
              <w:rPr>
                <w:snapToGrid w:val="0"/>
              </w:rPr>
            </w:pPr>
            <w:r>
              <w:rPr>
                <w:rFonts w:hint="eastAsia"/>
                <w:snapToGrid w:val="0"/>
              </w:rPr>
              <w:t>/</w:t>
            </w:r>
          </w:p>
        </w:tc>
        <w:tc>
          <w:tcPr>
            <w:tcW w:w="1761" w:type="dxa"/>
            <w:vAlign w:val="center"/>
          </w:tcPr>
          <w:p>
            <w:pPr>
              <w:jc w:val="center"/>
              <w:rPr>
                <w:snapToGrid w:val="0"/>
              </w:rPr>
            </w:pPr>
            <w:r>
              <w:rPr>
                <w:snapToGrid w:val="0"/>
              </w:rPr>
              <w:t>/</w:t>
            </w:r>
          </w:p>
        </w:tc>
        <w:tc>
          <w:tcPr>
            <w:tcW w:w="1641" w:type="dxa"/>
            <w:vAlign w:val="center"/>
          </w:tcPr>
          <w:p>
            <w:pPr>
              <w:pStyle w:val="27"/>
              <w:jc w:val="center"/>
              <w:rPr>
                <w:snapToGrid w:val="0"/>
              </w:rPr>
            </w:pPr>
            <w:r>
              <w:rPr>
                <w:rFonts w:hint="eastAsia"/>
                <w:snapToGrid w:val="0"/>
              </w:rPr>
              <w:t>/</w:t>
            </w:r>
          </w:p>
        </w:tc>
        <w:tc>
          <w:tcPr>
            <w:tcW w:w="1144" w:type="dxa"/>
            <w:vAlign w:val="center"/>
          </w:tcPr>
          <w:p>
            <w:pPr>
              <w:pStyle w:val="27"/>
              <w:jc w:val="center"/>
              <w:rPr>
                <w:snapToGrid w:val="0"/>
              </w:rPr>
            </w:pPr>
            <w:r>
              <w:rPr>
                <w:rFonts w:hint="eastAsia"/>
                <w:snapToGrid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88" w:type="dxa"/>
            <w:vMerge w:val="restart"/>
            <w:vAlign w:val="center"/>
          </w:tcPr>
          <w:p>
            <w:pPr>
              <w:pStyle w:val="27"/>
              <w:jc w:val="center"/>
              <w:rPr>
                <w:snapToGrid w:val="0"/>
              </w:rPr>
            </w:pPr>
            <w:r>
              <w:rPr>
                <w:rFonts w:hint="eastAsia"/>
                <w:snapToGrid w:val="0"/>
              </w:rPr>
              <w:t>一般工业</w:t>
            </w:r>
          </w:p>
          <w:p>
            <w:pPr>
              <w:pStyle w:val="27"/>
              <w:jc w:val="center"/>
              <w:rPr>
                <w:snapToGrid w:val="0"/>
              </w:rPr>
            </w:pPr>
            <w:r>
              <w:rPr>
                <w:rFonts w:hint="eastAsia"/>
                <w:snapToGrid w:val="0"/>
              </w:rPr>
              <w:t>固体废物</w:t>
            </w:r>
          </w:p>
        </w:tc>
        <w:tc>
          <w:tcPr>
            <w:tcW w:w="1352" w:type="dxa"/>
            <w:vAlign w:val="center"/>
          </w:tcPr>
          <w:p>
            <w:pPr>
              <w:pStyle w:val="51"/>
              <w:jc w:val="center"/>
              <w:rPr>
                <w:rFonts w:ascii="Times New Roman" w:cs="Times New Roman"/>
                <w:color w:val="auto"/>
                <w:sz w:val="21"/>
                <w:szCs w:val="21"/>
              </w:rPr>
            </w:pPr>
            <w:r>
              <w:rPr>
                <w:rFonts w:hint="eastAsia"/>
                <w:color w:val="auto"/>
                <w:sz w:val="21"/>
                <w:szCs w:val="21"/>
              </w:rPr>
              <w:t>不合格物料</w:t>
            </w:r>
          </w:p>
        </w:tc>
        <w:tc>
          <w:tcPr>
            <w:tcW w:w="1766" w:type="dxa"/>
            <w:vAlign w:val="center"/>
          </w:tcPr>
          <w:p>
            <w:pPr>
              <w:jc w:val="center"/>
              <w:rPr>
                <w:snapToGrid w:val="0"/>
              </w:rPr>
            </w:pPr>
            <w:r>
              <w:rPr>
                <w:snapToGrid w:val="0"/>
              </w:rPr>
              <w:t>/</w:t>
            </w:r>
          </w:p>
        </w:tc>
        <w:tc>
          <w:tcPr>
            <w:tcW w:w="1276" w:type="dxa"/>
            <w:vAlign w:val="center"/>
          </w:tcPr>
          <w:p>
            <w:pPr>
              <w:jc w:val="center"/>
              <w:rPr>
                <w:snapToGrid w:val="0"/>
              </w:rPr>
            </w:pPr>
            <w:r>
              <w:rPr>
                <w:snapToGrid w:val="0"/>
              </w:rPr>
              <w:t>/</w:t>
            </w:r>
          </w:p>
        </w:tc>
        <w:tc>
          <w:tcPr>
            <w:tcW w:w="1701" w:type="dxa"/>
            <w:vAlign w:val="center"/>
          </w:tcPr>
          <w:p>
            <w:pPr>
              <w:jc w:val="center"/>
              <w:rPr>
                <w:snapToGrid w:val="0"/>
              </w:rPr>
            </w:pPr>
            <w:r>
              <w:rPr>
                <w:snapToGrid w:val="0"/>
              </w:rPr>
              <w:t>/</w:t>
            </w:r>
          </w:p>
        </w:tc>
        <w:tc>
          <w:tcPr>
            <w:tcW w:w="1559" w:type="dxa"/>
            <w:vAlign w:val="center"/>
          </w:tcPr>
          <w:p>
            <w:pPr>
              <w:pStyle w:val="27"/>
              <w:jc w:val="center"/>
              <w:rPr>
                <w:snapToGrid w:val="0"/>
              </w:rPr>
            </w:pPr>
            <w:r>
              <w:rPr>
                <w:rFonts w:hint="eastAsia" w:eastAsia="宋体" w:cs="Times New Roman"/>
                <w:kern w:val="0"/>
                <w:szCs w:val="21"/>
              </w:rPr>
              <w:t>300</w:t>
            </w:r>
            <w:r>
              <w:rPr>
                <w:rFonts w:eastAsia="宋体" w:cs="Times New Roman"/>
                <w:kern w:val="0"/>
                <w:szCs w:val="21"/>
              </w:rPr>
              <w:t>t/a</w:t>
            </w:r>
          </w:p>
        </w:tc>
        <w:tc>
          <w:tcPr>
            <w:tcW w:w="1761" w:type="dxa"/>
            <w:vAlign w:val="center"/>
          </w:tcPr>
          <w:p>
            <w:pPr>
              <w:jc w:val="center"/>
              <w:rPr>
                <w:snapToGrid w:val="0"/>
              </w:rPr>
            </w:pPr>
            <w:r>
              <w:rPr>
                <w:snapToGrid w:val="0"/>
              </w:rPr>
              <w:t>/</w:t>
            </w:r>
          </w:p>
        </w:tc>
        <w:tc>
          <w:tcPr>
            <w:tcW w:w="1641" w:type="dxa"/>
            <w:vAlign w:val="center"/>
          </w:tcPr>
          <w:p>
            <w:pPr>
              <w:pStyle w:val="27"/>
              <w:jc w:val="center"/>
              <w:rPr>
                <w:snapToGrid w:val="0"/>
              </w:rPr>
            </w:pPr>
            <w:r>
              <w:rPr>
                <w:rFonts w:hint="eastAsia" w:eastAsia="宋体" w:cs="Times New Roman"/>
                <w:kern w:val="0"/>
                <w:szCs w:val="21"/>
              </w:rPr>
              <w:t>300</w:t>
            </w:r>
            <w:r>
              <w:rPr>
                <w:rFonts w:eastAsia="宋体" w:cs="Times New Roman"/>
                <w:kern w:val="0"/>
                <w:szCs w:val="21"/>
              </w:rPr>
              <w:t>t/a</w:t>
            </w:r>
          </w:p>
        </w:tc>
        <w:tc>
          <w:tcPr>
            <w:tcW w:w="1144" w:type="dxa"/>
            <w:vAlign w:val="center"/>
          </w:tcPr>
          <w:p>
            <w:pPr>
              <w:pStyle w:val="27"/>
              <w:jc w:val="center"/>
              <w:rPr>
                <w:snapToGrid w:val="0"/>
              </w:rPr>
            </w:pPr>
            <w:r>
              <w:rPr>
                <w:rFonts w:hint="eastAsia" w:eastAsia="宋体" w:cs="Times New Roman"/>
                <w:kern w:val="0"/>
                <w:szCs w:val="21"/>
              </w:rPr>
              <w:t>+300</w:t>
            </w:r>
            <w:r>
              <w:rPr>
                <w:rFonts w:eastAsia="宋体" w:cs="Times New Roman"/>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7"/>
              <w:jc w:val="center"/>
              <w:rPr>
                <w:snapToGrid w:val="0"/>
              </w:rPr>
            </w:pPr>
          </w:p>
        </w:tc>
        <w:tc>
          <w:tcPr>
            <w:tcW w:w="1352" w:type="dxa"/>
            <w:vAlign w:val="center"/>
          </w:tcPr>
          <w:p>
            <w:pPr>
              <w:pStyle w:val="51"/>
              <w:jc w:val="center"/>
              <w:rPr>
                <w:rFonts w:ascii="Times New Roman" w:cs="Times New Roman"/>
                <w:color w:val="auto"/>
                <w:sz w:val="21"/>
                <w:szCs w:val="21"/>
              </w:rPr>
            </w:pPr>
            <w:r>
              <w:rPr>
                <w:rFonts w:hint="eastAsia" w:ascii="Times New Roman" w:cs="Times New Roman"/>
                <w:color w:val="auto"/>
                <w:sz w:val="21"/>
                <w:szCs w:val="21"/>
              </w:rPr>
              <w:t>除尘装置粉尘</w:t>
            </w:r>
          </w:p>
        </w:tc>
        <w:tc>
          <w:tcPr>
            <w:tcW w:w="1766" w:type="dxa"/>
            <w:vAlign w:val="center"/>
          </w:tcPr>
          <w:p>
            <w:pPr>
              <w:jc w:val="center"/>
              <w:rPr>
                <w:snapToGrid w:val="0"/>
              </w:rPr>
            </w:pPr>
            <w:r>
              <w:rPr>
                <w:snapToGrid w:val="0"/>
              </w:rPr>
              <w:t>/</w:t>
            </w:r>
          </w:p>
        </w:tc>
        <w:tc>
          <w:tcPr>
            <w:tcW w:w="1276" w:type="dxa"/>
            <w:vAlign w:val="center"/>
          </w:tcPr>
          <w:p>
            <w:pPr>
              <w:jc w:val="center"/>
              <w:rPr>
                <w:snapToGrid w:val="0"/>
              </w:rPr>
            </w:pPr>
            <w:r>
              <w:rPr>
                <w:snapToGrid w:val="0"/>
              </w:rPr>
              <w:t>/</w:t>
            </w:r>
          </w:p>
        </w:tc>
        <w:tc>
          <w:tcPr>
            <w:tcW w:w="1701" w:type="dxa"/>
            <w:vAlign w:val="center"/>
          </w:tcPr>
          <w:p>
            <w:pPr>
              <w:jc w:val="center"/>
              <w:rPr>
                <w:snapToGrid w:val="0"/>
              </w:rPr>
            </w:pPr>
            <w:r>
              <w:rPr>
                <w:snapToGrid w:val="0"/>
              </w:rPr>
              <w:t>/</w:t>
            </w:r>
          </w:p>
        </w:tc>
        <w:tc>
          <w:tcPr>
            <w:tcW w:w="1559" w:type="dxa"/>
            <w:vAlign w:val="center"/>
          </w:tcPr>
          <w:p>
            <w:pPr>
              <w:pStyle w:val="27"/>
              <w:jc w:val="center"/>
              <w:rPr>
                <w:snapToGrid w:val="0"/>
              </w:rPr>
            </w:pPr>
            <w:r>
              <w:rPr>
                <w:rFonts w:hint="eastAsia" w:eastAsia="宋体" w:cs="Times New Roman"/>
                <w:kern w:val="0"/>
                <w:szCs w:val="21"/>
              </w:rPr>
              <w:t>405.27</w:t>
            </w:r>
            <w:r>
              <w:rPr>
                <w:rFonts w:eastAsia="宋体" w:cs="Times New Roman"/>
                <w:kern w:val="0"/>
                <w:szCs w:val="21"/>
              </w:rPr>
              <w:t>t/a</w:t>
            </w:r>
          </w:p>
        </w:tc>
        <w:tc>
          <w:tcPr>
            <w:tcW w:w="1761" w:type="dxa"/>
            <w:vAlign w:val="center"/>
          </w:tcPr>
          <w:p>
            <w:pPr>
              <w:jc w:val="center"/>
              <w:rPr>
                <w:snapToGrid w:val="0"/>
              </w:rPr>
            </w:pPr>
            <w:r>
              <w:rPr>
                <w:snapToGrid w:val="0"/>
              </w:rPr>
              <w:t>/</w:t>
            </w:r>
          </w:p>
        </w:tc>
        <w:tc>
          <w:tcPr>
            <w:tcW w:w="1641" w:type="dxa"/>
            <w:vAlign w:val="center"/>
          </w:tcPr>
          <w:p>
            <w:pPr>
              <w:pStyle w:val="27"/>
              <w:jc w:val="center"/>
              <w:rPr>
                <w:snapToGrid w:val="0"/>
              </w:rPr>
            </w:pPr>
            <w:r>
              <w:rPr>
                <w:rFonts w:hint="eastAsia" w:eastAsia="宋体" w:cs="Times New Roman"/>
                <w:kern w:val="0"/>
                <w:szCs w:val="21"/>
              </w:rPr>
              <w:t>405.27</w:t>
            </w:r>
            <w:r>
              <w:rPr>
                <w:rFonts w:eastAsia="宋体" w:cs="Times New Roman"/>
                <w:kern w:val="0"/>
                <w:szCs w:val="21"/>
              </w:rPr>
              <w:t>t/a</w:t>
            </w:r>
          </w:p>
        </w:tc>
        <w:tc>
          <w:tcPr>
            <w:tcW w:w="1144" w:type="dxa"/>
            <w:vAlign w:val="center"/>
          </w:tcPr>
          <w:p>
            <w:pPr>
              <w:pStyle w:val="27"/>
              <w:jc w:val="center"/>
              <w:rPr>
                <w:snapToGrid w:val="0"/>
              </w:rPr>
            </w:pPr>
            <w:r>
              <w:rPr>
                <w:rFonts w:hint="eastAsia" w:eastAsia="宋体" w:cs="Times New Roman"/>
                <w:kern w:val="0"/>
                <w:szCs w:val="21"/>
              </w:rPr>
              <w:t>+405.27</w:t>
            </w:r>
            <w:r>
              <w:rPr>
                <w:rFonts w:eastAsia="宋体" w:cs="Times New Roman"/>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7"/>
              <w:jc w:val="center"/>
              <w:rPr>
                <w:snapToGrid w:val="0"/>
              </w:rPr>
            </w:pPr>
          </w:p>
        </w:tc>
        <w:tc>
          <w:tcPr>
            <w:tcW w:w="1352" w:type="dxa"/>
            <w:vAlign w:val="center"/>
          </w:tcPr>
          <w:p>
            <w:pPr>
              <w:pStyle w:val="27"/>
              <w:jc w:val="center"/>
              <w:rPr>
                <w:rFonts w:eastAsia="宋体" w:cs="Times New Roman"/>
                <w:kern w:val="0"/>
                <w:szCs w:val="21"/>
              </w:rPr>
            </w:pPr>
            <w:r>
              <w:rPr>
                <w:rFonts w:hint="eastAsia" w:eastAsia="宋体" w:cs="Times New Roman"/>
                <w:kern w:val="0"/>
                <w:szCs w:val="21"/>
              </w:rPr>
              <w:t>沉淀池泥沙</w:t>
            </w:r>
          </w:p>
        </w:tc>
        <w:tc>
          <w:tcPr>
            <w:tcW w:w="1766" w:type="dxa"/>
            <w:vAlign w:val="center"/>
          </w:tcPr>
          <w:p>
            <w:pPr>
              <w:jc w:val="center"/>
              <w:rPr>
                <w:snapToGrid w:val="0"/>
              </w:rPr>
            </w:pPr>
            <w:r>
              <w:rPr>
                <w:snapToGrid w:val="0"/>
              </w:rPr>
              <w:t>/</w:t>
            </w:r>
          </w:p>
        </w:tc>
        <w:tc>
          <w:tcPr>
            <w:tcW w:w="1276" w:type="dxa"/>
            <w:vAlign w:val="center"/>
          </w:tcPr>
          <w:p>
            <w:pPr>
              <w:jc w:val="center"/>
              <w:rPr>
                <w:snapToGrid w:val="0"/>
              </w:rPr>
            </w:pPr>
            <w:r>
              <w:rPr>
                <w:snapToGrid w:val="0"/>
              </w:rPr>
              <w:t>/</w:t>
            </w:r>
          </w:p>
        </w:tc>
        <w:tc>
          <w:tcPr>
            <w:tcW w:w="1701" w:type="dxa"/>
            <w:vAlign w:val="center"/>
          </w:tcPr>
          <w:p>
            <w:pPr>
              <w:jc w:val="center"/>
              <w:rPr>
                <w:snapToGrid w:val="0"/>
              </w:rPr>
            </w:pPr>
            <w:r>
              <w:rPr>
                <w:snapToGrid w:val="0"/>
              </w:rPr>
              <w:t>/</w:t>
            </w:r>
          </w:p>
        </w:tc>
        <w:tc>
          <w:tcPr>
            <w:tcW w:w="1559" w:type="dxa"/>
            <w:vAlign w:val="center"/>
          </w:tcPr>
          <w:p>
            <w:pPr>
              <w:pStyle w:val="27"/>
              <w:jc w:val="center"/>
              <w:rPr>
                <w:snapToGrid w:val="0"/>
              </w:rPr>
            </w:pPr>
            <w:r>
              <w:rPr>
                <w:rFonts w:hint="eastAsia" w:eastAsia="宋体"/>
              </w:rPr>
              <w:t>5</w:t>
            </w:r>
            <w:r>
              <w:rPr>
                <w:rFonts w:eastAsia="宋体" w:cs="Times New Roman"/>
                <w:kern w:val="0"/>
                <w:szCs w:val="21"/>
              </w:rPr>
              <w:t>t/a</w:t>
            </w:r>
          </w:p>
        </w:tc>
        <w:tc>
          <w:tcPr>
            <w:tcW w:w="1761" w:type="dxa"/>
            <w:vAlign w:val="center"/>
          </w:tcPr>
          <w:p>
            <w:pPr>
              <w:jc w:val="center"/>
              <w:rPr>
                <w:snapToGrid w:val="0"/>
              </w:rPr>
            </w:pPr>
            <w:r>
              <w:rPr>
                <w:snapToGrid w:val="0"/>
              </w:rPr>
              <w:t>/</w:t>
            </w:r>
          </w:p>
        </w:tc>
        <w:tc>
          <w:tcPr>
            <w:tcW w:w="1641" w:type="dxa"/>
            <w:vAlign w:val="center"/>
          </w:tcPr>
          <w:p>
            <w:pPr>
              <w:pStyle w:val="27"/>
              <w:jc w:val="center"/>
              <w:rPr>
                <w:snapToGrid w:val="0"/>
              </w:rPr>
            </w:pPr>
            <w:r>
              <w:rPr>
                <w:rFonts w:hint="eastAsia" w:eastAsia="宋体"/>
              </w:rPr>
              <w:t>5</w:t>
            </w:r>
            <w:r>
              <w:rPr>
                <w:rFonts w:eastAsia="宋体" w:cs="Times New Roman"/>
                <w:kern w:val="0"/>
                <w:szCs w:val="21"/>
              </w:rPr>
              <w:t>t/a</w:t>
            </w:r>
          </w:p>
        </w:tc>
        <w:tc>
          <w:tcPr>
            <w:tcW w:w="1144" w:type="dxa"/>
            <w:vAlign w:val="center"/>
          </w:tcPr>
          <w:p>
            <w:pPr>
              <w:pStyle w:val="27"/>
              <w:jc w:val="center"/>
              <w:rPr>
                <w:snapToGrid w:val="0"/>
              </w:rPr>
            </w:pPr>
            <w:r>
              <w:rPr>
                <w:rFonts w:hint="eastAsia" w:eastAsia="宋体" w:cs="Times New Roman"/>
                <w:kern w:val="0"/>
                <w:szCs w:val="21"/>
              </w:rPr>
              <w:t>+</w:t>
            </w:r>
            <w:r>
              <w:rPr>
                <w:rFonts w:hint="eastAsia" w:eastAsia="宋体"/>
              </w:rPr>
              <w:t>5</w:t>
            </w:r>
            <w:r>
              <w:rPr>
                <w:rFonts w:eastAsia="宋体" w:cs="Times New Roman"/>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88" w:type="dxa"/>
            <w:vMerge w:val="restart"/>
            <w:vAlign w:val="center"/>
          </w:tcPr>
          <w:p>
            <w:pPr>
              <w:pStyle w:val="27"/>
              <w:jc w:val="center"/>
              <w:rPr>
                <w:snapToGrid w:val="0"/>
              </w:rPr>
            </w:pPr>
            <w:r>
              <w:rPr>
                <w:rFonts w:hint="eastAsia"/>
                <w:snapToGrid w:val="0"/>
              </w:rPr>
              <w:t>危险废物</w:t>
            </w:r>
          </w:p>
        </w:tc>
        <w:tc>
          <w:tcPr>
            <w:tcW w:w="1352" w:type="dxa"/>
            <w:vAlign w:val="center"/>
          </w:tcPr>
          <w:p>
            <w:pPr>
              <w:pStyle w:val="27"/>
              <w:jc w:val="center"/>
              <w:rPr>
                <w:snapToGrid w:val="0"/>
              </w:rPr>
            </w:pPr>
            <w:r>
              <w:rPr>
                <w:rFonts w:hint="eastAsia"/>
              </w:rPr>
              <w:t>废机油</w:t>
            </w:r>
          </w:p>
        </w:tc>
        <w:tc>
          <w:tcPr>
            <w:tcW w:w="1766" w:type="dxa"/>
            <w:vAlign w:val="center"/>
          </w:tcPr>
          <w:p>
            <w:pPr>
              <w:pStyle w:val="27"/>
              <w:jc w:val="center"/>
              <w:rPr>
                <w:snapToGrid w:val="0"/>
              </w:rPr>
            </w:pPr>
          </w:p>
        </w:tc>
        <w:tc>
          <w:tcPr>
            <w:tcW w:w="1276" w:type="dxa"/>
            <w:vAlign w:val="center"/>
          </w:tcPr>
          <w:p>
            <w:pPr>
              <w:pStyle w:val="27"/>
              <w:jc w:val="center"/>
              <w:rPr>
                <w:snapToGrid w:val="0"/>
              </w:rPr>
            </w:pPr>
          </w:p>
        </w:tc>
        <w:tc>
          <w:tcPr>
            <w:tcW w:w="1701" w:type="dxa"/>
            <w:vAlign w:val="center"/>
          </w:tcPr>
          <w:p>
            <w:pPr>
              <w:pStyle w:val="27"/>
              <w:jc w:val="center"/>
              <w:rPr>
                <w:snapToGrid w:val="0"/>
              </w:rPr>
            </w:pPr>
          </w:p>
        </w:tc>
        <w:tc>
          <w:tcPr>
            <w:tcW w:w="1559" w:type="dxa"/>
            <w:vAlign w:val="center"/>
          </w:tcPr>
          <w:p>
            <w:pPr>
              <w:pStyle w:val="27"/>
              <w:jc w:val="center"/>
              <w:rPr>
                <w:snapToGrid w:val="0"/>
              </w:rPr>
            </w:pPr>
            <w:r>
              <w:rPr>
                <w:rFonts w:hint="eastAsia"/>
                <w:snapToGrid w:val="0"/>
              </w:rPr>
              <w:t>0</w:t>
            </w:r>
            <w:r>
              <w:rPr>
                <w:snapToGrid w:val="0"/>
              </w:rPr>
              <w:t>.05 t/a</w:t>
            </w:r>
          </w:p>
        </w:tc>
        <w:tc>
          <w:tcPr>
            <w:tcW w:w="1761" w:type="dxa"/>
            <w:vAlign w:val="center"/>
          </w:tcPr>
          <w:p>
            <w:pPr>
              <w:pStyle w:val="27"/>
              <w:jc w:val="center"/>
              <w:rPr>
                <w:snapToGrid w:val="0"/>
              </w:rPr>
            </w:pPr>
          </w:p>
        </w:tc>
        <w:tc>
          <w:tcPr>
            <w:tcW w:w="1641" w:type="dxa"/>
            <w:vAlign w:val="center"/>
          </w:tcPr>
          <w:p>
            <w:pPr>
              <w:pStyle w:val="27"/>
              <w:jc w:val="center"/>
              <w:rPr>
                <w:snapToGrid w:val="0"/>
              </w:rPr>
            </w:pPr>
            <w:r>
              <w:rPr>
                <w:rFonts w:hint="eastAsia"/>
                <w:snapToGrid w:val="0"/>
              </w:rPr>
              <w:t>0</w:t>
            </w:r>
            <w:r>
              <w:rPr>
                <w:snapToGrid w:val="0"/>
              </w:rPr>
              <w:t>.05 t/a</w:t>
            </w:r>
          </w:p>
        </w:tc>
        <w:tc>
          <w:tcPr>
            <w:tcW w:w="1144" w:type="dxa"/>
            <w:vAlign w:val="center"/>
          </w:tcPr>
          <w:p>
            <w:pPr>
              <w:pStyle w:val="27"/>
              <w:jc w:val="center"/>
              <w:rPr>
                <w:snapToGrid w:val="0"/>
              </w:rPr>
            </w:pPr>
            <w:r>
              <w:rPr>
                <w:snapToGrid w:val="0"/>
              </w:rPr>
              <w:t>+</w:t>
            </w:r>
            <w:r>
              <w:rPr>
                <w:rFonts w:hint="eastAsia"/>
                <w:snapToGrid w:val="0"/>
              </w:rPr>
              <w:t>0</w:t>
            </w:r>
            <w:r>
              <w:rPr>
                <w:snapToGrid w:val="0"/>
              </w:rPr>
              <w:t>.05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88" w:type="dxa"/>
            <w:vMerge w:val="continue"/>
            <w:vAlign w:val="center"/>
          </w:tcPr>
          <w:p>
            <w:pPr>
              <w:pStyle w:val="27"/>
              <w:jc w:val="center"/>
              <w:rPr>
                <w:snapToGrid w:val="0"/>
              </w:rPr>
            </w:pPr>
          </w:p>
        </w:tc>
        <w:tc>
          <w:tcPr>
            <w:tcW w:w="1352" w:type="dxa"/>
            <w:vAlign w:val="center"/>
          </w:tcPr>
          <w:p>
            <w:pPr>
              <w:pStyle w:val="27"/>
              <w:jc w:val="center"/>
              <w:rPr>
                <w:snapToGrid w:val="0"/>
              </w:rPr>
            </w:pPr>
            <w:r>
              <w:rPr>
                <w:rFonts w:hint="eastAsia"/>
              </w:rPr>
              <w:t>废油桶</w:t>
            </w:r>
          </w:p>
        </w:tc>
        <w:tc>
          <w:tcPr>
            <w:tcW w:w="1766" w:type="dxa"/>
            <w:vAlign w:val="center"/>
          </w:tcPr>
          <w:p>
            <w:pPr>
              <w:pStyle w:val="27"/>
              <w:jc w:val="center"/>
              <w:rPr>
                <w:snapToGrid w:val="0"/>
              </w:rPr>
            </w:pPr>
          </w:p>
        </w:tc>
        <w:tc>
          <w:tcPr>
            <w:tcW w:w="1276" w:type="dxa"/>
            <w:vAlign w:val="center"/>
          </w:tcPr>
          <w:p>
            <w:pPr>
              <w:pStyle w:val="27"/>
              <w:jc w:val="center"/>
              <w:rPr>
                <w:snapToGrid w:val="0"/>
              </w:rPr>
            </w:pPr>
          </w:p>
        </w:tc>
        <w:tc>
          <w:tcPr>
            <w:tcW w:w="1701" w:type="dxa"/>
            <w:vAlign w:val="center"/>
          </w:tcPr>
          <w:p>
            <w:pPr>
              <w:pStyle w:val="27"/>
              <w:jc w:val="center"/>
              <w:rPr>
                <w:snapToGrid w:val="0"/>
              </w:rPr>
            </w:pPr>
          </w:p>
        </w:tc>
        <w:tc>
          <w:tcPr>
            <w:tcW w:w="1559" w:type="dxa"/>
            <w:vAlign w:val="center"/>
          </w:tcPr>
          <w:p>
            <w:pPr>
              <w:pStyle w:val="27"/>
              <w:jc w:val="center"/>
              <w:rPr>
                <w:snapToGrid w:val="0"/>
              </w:rPr>
            </w:pPr>
            <w:r>
              <w:rPr>
                <w:rFonts w:hint="eastAsia"/>
                <w:snapToGrid w:val="0"/>
              </w:rPr>
              <w:t>0</w:t>
            </w:r>
            <w:r>
              <w:rPr>
                <w:snapToGrid w:val="0"/>
              </w:rPr>
              <w:t>.005t/a</w:t>
            </w:r>
          </w:p>
        </w:tc>
        <w:tc>
          <w:tcPr>
            <w:tcW w:w="1761" w:type="dxa"/>
            <w:vAlign w:val="center"/>
          </w:tcPr>
          <w:p>
            <w:pPr>
              <w:pStyle w:val="27"/>
              <w:jc w:val="center"/>
              <w:rPr>
                <w:snapToGrid w:val="0"/>
              </w:rPr>
            </w:pPr>
          </w:p>
        </w:tc>
        <w:tc>
          <w:tcPr>
            <w:tcW w:w="1641" w:type="dxa"/>
            <w:vAlign w:val="center"/>
          </w:tcPr>
          <w:p>
            <w:pPr>
              <w:pStyle w:val="27"/>
              <w:jc w:val="center"/>
              <w:rPr>
                <w:snapToGrid w:val="0"/>
              </w:rPr>
            </w:pPr>
            <w:r>
              <w:rPr>
                <w:rFonts w:hint="eastAsia"/>
                <w:snapToGrid w:val="0"/>
              </w:rPr>
              <w:t>0</w:t>
            </w:r>
            <w:r>
              <w:rPr>
                <w:snapToGrid w:val="0"/>
              </w:rPr>
              <w:t>.005t/a</w:t>
            </w:r>
          </w:p>
        </w:tc>
        <w:tc>
          <w:tcPr>
            <w:tcW w:w="1144" w:type="dxa"/>
            <w:vAlign w:val="center"/>
          </w:tcPr>
          <w:p>
            <w:pPr>
              <w:pStyle w:val="27"/>
              <w:jc w:val="center"/>
              <w:rPr>
                <w:snapToGrid w:val="0"/>
              </w:rPr>
            </w:pPr>
            <w:r>
              <w:rPr>
                <w:snapToGrid w:val="0"/>
              </w:rPr>
              <w:t>+</w:t>
            </w:r>
            <w:r>
              <w:rPr>
                <w:rFonts w:hint="eastAsia"/>
                <w:snapToGrid w:val="0"/>
              </w:rPr>
              <w:t>0</w:t>
            </w:r>
            <w:r>
              <w:rPr>
                <w:snapToGrid w:val="0"/>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88" w:type="dxa"/>
            <w:vMerge w:val="continue"/>
            <w:vAlign w:val="center"/>
          </w:tcPr>
          <w:p>
            <w:pPr>
              <w:pStyle w:val="27"/>
              <w:jc w:val="center"/>
              <w:rPr>
                <w:snapToGrid w:val="0"/>
              </w:rPr>
            </w:pPr>
          </w:p>
        </w:tc>
        <w:tc>
          <w:tcPr>
            <w:tcW w:w="1352" w:type="dxa"/>
            <w:vAlign w:val="center"/>
          </w:tcPr>
          <w:p>
            <w:pPr>
              <w:pStyle w:val="27"/>
              <w:jc w:val="center"/>
              <w:rPr>
                <w:snapToGrid w:val="0"/>
              </w:rPr>
            </w:pPr>
            <w:r>
              <w:rPr>
                <w:rFonts w:hint="eastAsia"/>
              </w:rPr>
              <w:t>废含油抹布/棉纱</w:t>
            </w:r>
          </w:p>
        </w:tc>
        <w:tc>
          <w:tcPr>
            <w:tcW w:w="1766" w:type="dxa"/>
            <w:vAlign w:val="center"/>
          </w:tcPr>
          <w:p>
            <w:pPr>
              <w:pStyle w:val="27"/>
              <w:jc w:val="center"/>
              <w:rPr>
                <w:snapToGrid w:val="0"/>
              </w:rPr>
            </w:pPr>
          </w:p>
        </w:tc>
        <w:tc>
          <w:tcPr>
            <w:tcW w:w="1276" w:type="dxa"/>
            <w:vAlign w:val="center"/>
          </w:tcPr>
          <w:p>
            <w:pPr>
              <w:pStyle w:val="27"/>
              <w:jc w:val="center"/>
              <w:rPr>
                <w:snapToGrid w:val="0"/>
              </w:rPr>
            </w:pPr>
          </w:p>
        </w:tc>
        <w:tc>
          <w:tcPr>
            <w:tcW w:w="1701" w:type="dxa"/>
            <w:vAlign w:val="center"/>
          </w:tcPr>
          <w:p>
            <w:pPr>
              <w:pStyle w:val="27"/>
              <w:jc w:val="center"/>
              <w:rPr>
                <w:snapToGrid w:val="0"/>
              </w:rPr>
            </w:pPr>
          </w:p>
        </w:tc>
        <w:tc>
          <w:tcPr>
            <w:tcW w:w="1559" w:type="dxa"/>
            <w:vAlign w:val="center"/>
          </w:tcPr>
          <w:p>
            <w:pPr>
              <w:pStyle w:val="27"/>
              <w:jc w:val="center"/>
              <w:rPr>
                <w:snapToGrid w:val="0"/>
              </w:rPr>
            </w:pPr>
            <w:r>
              <w:rPr>
                <w:rFonts w:hint="eastAsia"/>
                <w:snapToGrid w:val="0"/>
              </w:rPr>
              <w:t>0</w:t>
            </w:r>
            <w:r>
              <w:rPr>
                <w:snapToGrid w:val="0"/>
              </w:rPr>
              <w:t>.005t/a</w:t>
            </w:r>
          </w:p>
        </w:tc>
        <w:tc>
          <w:tcPr>
            <w:tcW w:w="1761" w:type="dxa"/>
            <w:vAlign w:val="center"/>
          </w:tcPr>
          <w:p>
            <w:pPr>
              <w:pStyle w:val="27"/>
              <w:jc w:val="center"/>
              <w:rPr>
                <w:snapToGrid w:val="0"/>
              </w:rPr>
            </w:pPr>
          </w:p>
        </w:tc>
        <w:tc>
          <w:tcPr>
            <w:tcW w:w="1641" w:type="dxa"/>
            <w:vAlign w:val="center"/>
          </w:tcPr>
          <w:p>
            <w:pPr>
              <w:pStyle w:val="27"/>
              <w:jc w:val="center"/>
              <w:rPr>
                <w:snapToGrid w:val="0"/>
              </w:rPr>
            </w:pPr>
            <w:r>
              <w:rPr>
                <w:rFonts w:hint="eastAsia"/>
                <w:snapToGrid w:val="0"/>
              </w:rPr>
              <w:t>0</w:t>
            </w:r>
            <w:r>
              <w:rPr>
                <w:snapToGrid w:val="0"/>
              </w:rPr>
              <w:t>.005t/a</w:t>
            </w:r>
          </w:p>
        </w:tc>
        <w:tc>
          <w:tcPr>
            <w:tcW w:w="1144" w:type="dxa"/>
            <w:vAlign w:val="center"/>
          </w:tcPr>
          <w:p>
            <w:pPr>
              <w:pStyle w:val="27"/>
              <w:jc w:val="center"/>
              <w:rPr>
                <w:snapToGrid w:val="0"/>
              </w:rPr>
            </w:pPr>
            <w:r>
              <w:rPr>
                <w:snapToGrid w:val="0"/>
              </w:rPr>
              <w:t>+</w:t>
            </w:r>
            <w:r>
              <w:rPr>
                <w:rFonts w:hint="eastAsia"/>
                <w:snapToGrid w:val="0"/>
              </w:rPr>
              <w:t>0</w:t>
            </w:r>
            <w:r>
              <w:rPr>
                <w:snapToGrid w:val="0"/>
              </w:rPr>
              <w:t>.005t/a</w:t>
            </w:r>
          </w:p>
        </w:tc>
      </w:tr>
    </w:tbl>
    <w:p>
      <w:pPr>
        <w:pStyle w:val="48"/>
        <w:spacing w:before="260" w:beforeLines="80" w:after="32"/>
        <w:ind w:firstLine="420"/>
        <w:jc w:val="left"/>
        <w:rPr>
          <w:rFonts w:hAnsi="宋体"/>
          <w:snapToGrid w:val="0"/>
          <w:spacing w:val="-6"/>
          <w:kern w:val="21"/>
          <w:szCs w:val="21"/>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pgSz w:w="16838" w:h="11906" w:orient="landscape"/>
      <w:pgMar w:top="1440" w:right="1080" w:bottom="1440" w:left="108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宋体_x0008_....">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33420"/>
    </w:sdtPr>
    <w:sdtEndPr>
      <w:rPr>
        <w:sz w:val="20"/>
        <w:szCs w:val="20"/>
      </w:rPr>
    </w:sdtEndPr>
    <w:sdtContent>
      <w:p>
        <w:pPr>
          <w:pStyle w:val="13"/>
          <w:jc w:val="right"/>
          <w:rPr>
            <w:sz w:val="20"/>
            <w:szCs w:val="20"/>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990206"/>
    </w:sdtPr>
    <w:sdtEndPr>
      <w:rPr>
        <w:sz w:val="24"/>
        <w:szCs w:val="24"/>
      </w:rPr>
    </w:sdtEndPr>
    <w:sdtContent>
      <w:p>
        <w:pPr>
          <w:pStyle w:val="13"/>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4D6C5"/>
    <w:multiLevelType w:val="singleLevel"/>
    <w:tmpl w:val="2E34D6C5"/>
    <w:lvl w:ilvl="0" w:tentative="0">
      <w:start w:val="1"/>
      <w:numFmt w:val="decimal"/>
      <w:suff w:val="nothing"/>
      <w:lvlText w:val="（%1）"/>
      <w:lvlJc w:val="left"/>
    </w:lvl>
  </w:abstractNum>
  <w:abstractNum w:abstractNumId="1">
    <w:nsid w:val="40B2AB69"/>
    <w:multiLevelType w:val="singleLevel"/>
    <w:tmpl w:val="40B2AB6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5MmU5ZGYwZThiMDM1NDExZTY0OTM1MzhkNzU1NjQifQ=="/>
  </w:docVars>
  <w:rsids>
    <w:rsidRoot w:val="00786993"/>
    <w:rsid w:val="00000915"/>
    <w:rsid w:val="000021F6"/>
    <w:rsid w:val="00002950"/>
    <w:rsid w:val="00006C0D"/>
    <w:rsid w:val="00006CA7"/>
    <w:rsid w:val="00006F23"/>
    <w:rsid w:val="00011367"/>
    <w:rsid w:val="0001206A"/>
    <w:rsid w:val="0001436C"/>
    <w:rsid w:val="000171E1"/>
    <w:rsid w:val="00017596"/>
    <w:rsid w:val="00020D1B"/>
    <w:rsid w:val="00022DD4"/>
    <w:rsid w:val="0002461D"/>
    <w:rsid w:val="00024A5A"/>
    <w:rsid w:val="0002550F"/>
    <w:rsid w:val="00030390"/>
    <w:rsid w:val="0003075F"/>
    <w:rsid w:val="00030AC1"/>
    <w:rsid w:val="000313E8"/>
    <w:rsid w:val="00031508"/>
    <w:rsid w:val="00031E80"/>
    <w:rsid w:val="00032B57"/>
    <w:rsid w:val="0003619C"/>
    <w:rsid w:val="0003674C"/>
    <w:rsid w:val="00036A90"/>
    <w:rsid w:val="00037087"/>
    <w:rsid w:val="000373EF"/>
    <w:rsid w:val="00041937"/>
    <w:rsid w:val="00043ECB"/>
    <w:rsid w:val="000461ED"/>
    <w:rsid w:val="00051166"/>
    <w:rsid w:val="00052E78"/>
    <w:rsid w:val="0005341B"/>
    <w:rsid w:val="0005389E"/>
    <w:rsid w:val="00054D39"/>
    <w:rsid w:val="00057F60"/>
    <w:rsid w:val="00061784"/>
    <w:rsid w:val="00063130"/>
    <w:rsid w:val="00063F91"/>
    <w:rsid w:val="0006664E"/>
    <w:rsid w:val="00067EEE"/>
    <w:rsid w:val="0007039F"/>
    <w:rsid w:val="00071503"/>
    <w:rsid w:val="000720DB"/>
    <w:rsid w:val="00072138"/>
    <w:rsid w:val="000721EF"/>
    <w:rsid w:val="00072292"/>
    <w:rsid w:val="00073C9D"/>
    <w:rsid w:val="000751EC"/>
    <w:rsid w:val="00076377"/>
    <w:rsid w:val="00080C6A"/>
    <w:rsid w:val="00082EEF"/>
    <w:rsid w:val="000841A1"/>
    <w:rsid w:val="000842B2"/>
    <w:rsid w:val="0008571D"/>
    <w:rsid w:val="0009091A"/>
    <w:rsid w:val="00093354"/>
    <w:rsid w:val="00094370"/>
    <w:rsid w:val="0009601B"/>
    <w:rsid w:val="00096B35"/>
    <w:rsid w:val="000A0FAC"/>
    <w:rsid w:val="000A4454"/>
    <w:rsid w:val="000A48E0"/>
    <w:rsid w:val="000B029D"/>
    <w:rsid w:val="000B1E99"/>
    <w:rsid w:val="000B2AAC"/>
    <w:rsid w:val="000B3B06"/>
    <w:rsid w:val="000B6B67"/>
    <w:rsid w:val="000B7852"/>
    <w:rsid w:val="000C2376"/>
    <w:rsid w:val="000C39D8"/>
    <w:rsid w:val="000C4B23"/>
    <w:rsid w:val="000C6032"/>
    <w:rsid w:val="000D1BA0"/>
    <w:rsid w:val="000D291B"/>
    <w:rsid w:val="000D29DB"/>
    <w:rsid w:val="000D5006"/>
    <w:rsid w:val="000D7316"/>
    <w:rsid w:val="000E0EB9"/>
    <w:rsid w:val="000E2522"/>
    <w:rsid w:val="000E466C"/>
    <w:rsid w:val="000E5041"/>
    <w:rsid w:val="000E564A"/>
    <w:rsid w:val="000E7453"/>
    <w:rsid w:val="000F0AAC"/>
    <w:rsid w:val="000F0DF6"/>
    <w:rsid w:val="000F0F91"/>
    <w:rsid w:val="000F1E71"/>
    <w:rsid w:val="000F28CC"/>
    <w:rsid w:val="000F2A59"/>
    <w:rsid w:val="000F3D93"/>
    <w:rsid w:val="000F44DE"/>
    <w:rsid w:val="000F4DAC"/>
    <w:rsid w:val="000F59C8"/>
    <w:rsid w:val="000F65E2"/>
    <w:rsid w:val="00100719"/>
    <w:rsid w:val="00102BF6"/>
    <w:rsid w:val="00103899"/>
    <w:rsid w:val="00105376"/>
    <w:rsid w:val="00106F7A"/>
    <w:rsid w:val="001123F4"/>
    <w:rsid w:val="00114893"/>
    <w:rsid w:val="00121E97"/>
    <w:rsid w:val="001226F9"/>
    <w:rsid w:val="001242B5"/>
    <w:rsid w:val="00124A07"/>
    <w:rsid w:val="001263E5"/>
    <w:rsid w:val="00127CE9"/>
    <w:rsid w:val="0013002A"/>
    <w:rsid w:val="00130391"/>
    <w:rsid w:val="00130AB2"/>
    <w:rsid w:val="00132752"/>
    <w:rsid w:val="0013608C"/>
    <w:rsid w:val="00137613"/>
    <w:rsid w:val="001376E5"/>
    <w:rsid w:val="0014178F"/>
    <w:rsid w:val="001429F8"/>
    <w:rsid w:val="0014353A"/>
    <w:rsid w:val="001437CF"/>
    <w:rsid w:val="00143AF1"/>
    <w:rsid w:val="00143EAF"/>
    <w:rsid w:val="00144297"/>
    <w:rsid w:val="00146F0E"/>
    <w:rsid w:val="00150D4B"/>
    <w:rsid w:val="00152652"/>
    <w:rsid w:val="00152779"/>
    <w:rsid w:val="001535BC"/>
    <w:rsid w:val="00161E4E"/>
    <w:rsid w:val="00161FAB"/>
    <w:rsid w:val="0016328C"/>
    <w:rsid w:val="0016708C"/>
    <w:rsid w:val="00171C97"/>
    <w:rsid w:val="001726F3"/>
    <w:rsid w:val="00173981"/>
    <w:rsid w:val="00174602"/>
    <w:rsid w:val="00174E35"/>
    <w:rsid w:val="00176F58"/>
    <w:rsid w:val="00181D6A"/>
    <w:rsid w:val="0018248B"/>
    <w:rsid w:val="001855DC"/>
    <w:rsid w:val="00185D8D"/>
    <w:rsid w:val="001862B8"/>
    <w:rsid w:val="001869D7"/>
    <w:rsid w:val="00186A4E"/>
    <w:rsid w:val="00195D08"/>
    <w:rsid w:val="00195D0E"/>
    <w:rsid w:val="001975AF"/>
    <w:rsid w:val="001A01E3"/>
    <w:rsid w:val="001A1129"/>
    <w:rsid w:val="001A129B"/>
    <w:rsid w:val="001A13FE"/>
    <w:rsid w:val="001A1702"/>
    <w:rsid w:val="001A3C05"/>
    <w:rsid w:val="001A6313"/>
    <w:rsid w:val="001A6DEB"/>
    <w:rsid w:val="001B0450"/>
    <w:rsid w:val="001B072F"/>
    <w:rsid w:val="001B0C10"/>
    <w:rsid w:val="001B12F9"/>
    <w:rsid w:val="001B2EB5"/>
    <w:rsid w:val="001B4B4D"/>
    <w:rsid w:val="001B603B"/>
    <w:rsid w:val="001B6710"/>
    <w:rsid w:val="001C2FB1"/>
    <w:rsid w:val="001C34E3"/>
    <w:rsid w:val="001C3A24"/>
    <w:rsid w:val="001C74A2"/>
    <w:rsid w:val="001D12F5"/>
    <w:rsid w:val="001D1FFD"/>
    <w:rsid w:val="001D2486"/>
    <w:rsid w:val="001D2B0D"/>
    <w:rsid w:val="001D3A69"/>
    <w:rsid w:val="001D4E35"/>
    <w:rsid w:val="001D5AE6"/>
    <w:rsid w:val="001D5E37"/>
    <w:rsid w:val="001D6024"/>
    <w:rsid w:val="001D6932"/>
    <w:rsid w:val="001D6C76"/>
    <w:rsid w:val="001E0F22"/>
    <w:rsid w:val="001E247B"/>
    <w:rsid w:val="001E2515"/>
    <w:rsid w:val="001E2FC8"/>
    <w:rsid w:val="001E33E3"/>
    <w:rsid w:val="001F1000"/>
    <w:rsid w:val="001F271D"/>
    <w:rsid w:val="001F5302"/>
    <w:rsid w:val="001F6730"/>
    <w:rsid w:val="001F7059"/>
    <w:rsid w:val="00200BB0"/>
    <w:rsid w:val="00201B20"/>
    <w:rsid w:val="00204781"/>
    <w:rsid w:val="002062C5"/>
    <w:rsid w:val="002114B0"/>
    <w:rsid w:val="002118AB"/>
    <w:rsid w:val="00211C69"/>
    <w:rsid w:val="00214AE8"/>
    <w:rsid w:val="0021639E"/>
    <w:rsid w:val="002174B6"/>
    <w:rsid w:val="00220CB6"/>
    <w:rsid w:val="0022535A"/>
    <w:rsid w:val="0022538D"/>
    <w:rsid w:val="00227701"/>
    <w:rsid w:val="002322F2"/>
    <w:rsid w:val="00236E4A"/>
    <w:rsid w:val="00240770"/>
    <w:rsid w:val="0024176D"/>
    <w:rsid w:val="002424E7"/>
    <w:rsid w:val="002465F9"/>
    <w:rsid w:val="002467E4"/>
    <w:rsid w:val="002505D2"/>
    <w:rsid w:val="0025161C"/>
    <w:rsid w:val="002554A3"/>
    <w:rsid w:val="00256FD9"/>
    <w:rsid w:val="00257894"/>
    <w:rsid w:val="00257A07"/>
    <w:rsid w:val="00260109"/>
    <w:rsid w:val="00260F91"/>
    <w:rsid w:val="0026374C"/>
    <w:rsid w:val="00266295"/>
    <w:rsid w:val="00272201"/>
    <w:rsid w:val="0027433F"/>
    <w:rsid w:val="00275B46"/>
    <w:rsid w:val="00276490"/>
    <w:rsid w:val="002769FB"/>
    <w:rsid w:val="002778FB"/>
    <w:rsid w:val="00277F5D"/>
    <w:rsid w:val="002803A1"/>
    <w:rsid w:val="00280700"/>
    <w:rsid w:val="00285846"/>
    <w:rsid w:val="00286145"/>
    <w:rsid w:val="002905F7"/>
    <w:rsid w:val="002939C0"/>
    <w:rsid w:val="00296745"/>
    <w:rsid w:val="0029689A"/>
    <w:rsid w:val="002972E6"/>
    <w:rsid w:val="002A1249"/>
    <w:rsid w:val="002A13A1"/>
    <w:rsid w:val="002A243F"/>
    <w:rsid w:val="002A3E7D"/>
    <w:rsid w:val="002A617E"/>
    <w:rsid w:val="002A6D14"/>
    <w:rsid w:val="002B05FF"/>
    <w:rsid w:val="002B1644"/>
    <w:rsid w:val="002B2008"/>
    <w:rsid w:val="002B28A5"/>
    <w:rsid w:val="002B52B6"/>
    <w:rsid w:val="002B5390"/>
    <w:rsid w:val="002B63DF"/>
    <w:rsid w:val="002B6FD8"/>
    <w:rsid w:val="002C1078"/>
    <w:rsid w:val="002C662B"/>
    <w:rsid w:val="002C6914"/>
    <w:rsid w:val="002C6C6D"/>
    <w:rsid w:val="002D1B9F"/>
    <w:rsid w:val="002D5214"/>
    <w:rsid w:val="002D6916"/>
    <w:rsid w:val="002E0620"/>
    <w:rsid w:val="002E231A"/>
    <w:rsid w:val="002E5B60"/>
    <w:rsid w:val="002E5CC8"/>
    <w:rsid w:val="002F04DE"/>
    <w:rsid w:val="002F2E4F"/>
    <w:rsid w:val="002F5C5E"/>
    <w:rsid w:val="002F6F11"/>
    <w:rsid w:val="00300E1B"/>
    <w:rsid w:val="0030122F"/>
    <w:rsid w:val="00301660"/>
    <w:rsid w:val="00302921"/>
    <w:rsid w:val="003029BF"/>
    <w:rsid w:val="00302CCF"/>
    <w:rsid w:val="00304137"/>
    <w:rsid w:val="0030459D"/>
    <w:rsid w:val="0030491A"/>
    <w:rsid w:val="003060CA"/>
    <w:rsid w:val="003068B6"/>
    <w:rsid w:val="0030723A"/>
    <w:rsid w:val="003079D0"/>
    <w:rsid w:val="00307DB3"/>
    <w:rsid w:val="00310373"/>
    <w:rsid w:val="00311392"/>
    <w:rsid w:val="00311741"/>
    <w:rsid w:val="00311E2C"/>
    <w:rsid w:val="003123B9"/>
    <w:rsid w:val="003124CB"/>
    <w:rsid w:val="00314D96"/>
    <w:rsid w:val="003160D3"/>
    <w:rsid w:val="00321D33"/>
    <w:rsid w:val="00322A4A"/>
    <w:rsid w:val="0032640E"/>
    <w:rsid w:val="00330C16"/>
    <w:rsid w:val="00331DF1"/>
    <w:rsid w:val="00333DA4"/>
    <w:rsid w:val="00335B3F"/>
    <w:rsid w:val="00336D74"/>
    <w:rsid w:val="00341C74"/>
    <w:rsid w:val="00341F75"/>
    <w:rsid w:val="0034347E"/>
    <w:rsid w:val="00343BCF"/>
    <w:rsid w:val="003450DA"/>
    <w:rsid w:val="00345FF0"/>
    <w:rsid w:val="0035034F"/>
    <w:rsid w:val="003503C3"/>
    <w:rsid w:val="0035171E"/>
    <w:rsid w:val="003526F4"/>
    <w:rsid w:val="00352B5C"/>
    <w:rsid w:val="003550EE"/>
    <w:rsid w:val="00355141"/>
    <w:rsid w:val="00356F1A"/>
    <w:rsid w:val="00357200"/>
    <w:rsid w:val="00357A7D"/>
    <w:rsid w:val="00357C71"/>
    <w:rsid w:val="00360BA5"/>
    <w:rsid w:val="00361000"/>
    <w:rsid w:val="00361458"/>
    <w:rsid w:val="003614C5"/>
    <w:rsid w:val="0036250D"/>
    <w:rsid w:val="003635B9"/>
    <w:rsid w:val="00371C2F"/>
    <w:rsid w:val="0037359B"/>
    <w:rsid w:val="00375930"/>
    <w:rsid w:val="00380171"/>
    <w:rsid w:val="00381E31"/>
    <w:rsid w:val="003830CC"/>
    <w:rsid w:val="003855A0"/>
    <w:rsid w:val="0039243A"/>
    <w:rsid w:val="00393887"/>
    <w:rsid w:val="00395954"/>
    <w:rsid w:val="00396EBA"/>
    <w:rsid w:val="003A0EDA"/>
    <w:rsid w:val="003A2A3E"/>
    <w:rsid w:val="003A5481"/>
    <w:rsid w:val="003A6FE1"/>
    <w:rsid w:val="003B152F"/>
    <w:rsid w:val="003B3A01"/>
    <w:rsid w:val="003B57B9"/>
    <w:rsid w:val="003C1502"/>
    <w:rsid w:val="003C2100"/>
    <w:rsid w:val="003C3AFD"/>
    <w:rsid w:val="003C3F19"/>
    <w:rsid w:val="003C5917"/>
    <w:rsid w:val="003D08B3"/>
    <w:rsid w:val="003D2239"/>
    <w:rsid w:val="003D26FF"/>
    <w:rsid w:val="003D2988"/>
    <w:rsid w:val="003D29B4"/>
    <w:rsid w:val="003D552D"/>
    <w:rsid w:val="003D6413"/>
    <w:rsid w:val="003D65EA"/>
    <w:rsid w:val="003D6BC9"/>
    <w:rsid w:val="003D701A"/>
    <w:rsid w:val="003D7CE7"/>
    <w:rsid w:val="003E0C15"/>
    <w:rsid w:val="003E10EE"/>
    <w:rsid w:val="003E49E5"/>
    <w:rsid w:val="003F17E5"/>
    <w:rsid w:val="003F458F"/>
    <w:rsid w:val="003F5099"/>
    <w:rsid w:val="003F6A86"/>
    <w:rsid w:val="00400050"/>
    <w:rsid w:val="00401ADB"/>
    <w:rsid w:val="00402686"/>
    <w:rsid w:val="00403765"/>
    <w:rsid w:val="00406311"/>
    <w:rsid w:val="00406D60"/>
    <w:rsid w:val="004127DA"/>
    <w:rsid w:val="00412D68"/>
    <w:rsid w:val="00412E2A"/>
    <w:rsid w:val="00414CC3"/>
    <w:rsid w:val="00417B28"/>
    <w:rsid w:val="00424D64"/>
    <w:rsid w:val="00424F25"/>
    <w:rsid w:val="00426332"/>
    <w:rsid w:val="00427224"/>
    <w:rsid w:val="00430FB9"/>
    <w:rsid w:val="00432F70"/>
    <w:rsid w:val="004340F8"/>
    <w:rsid w:val="0043531F"/>
    <w:rsid w:val="00436068"/>
    <w:rsid w:val="004378F0"/>
    <w:rsid w:val="00437920"/>
    <w:rsid w:val="00445C1F"/>
    <w:rsid w:val="00450424"/>
    <w:rsid w:val="00452135"/>
    <w:rsid w:val="0045301D"/>
    <w:rsid w:val="0045450B"/>
    <w:rsid w:val="00455C69"/>
    <w:rsid w:val="00455DD2"/>
    <w:rsid w:val="00462408"/>
    <w:rsid w:val="00464A32"/>
    <w:rsid w:val="0046513D"/>
    <w:rsid w:val="0047065E"/>
    <w:rsid w:val="0047155C"/>
    <w:rsid w:val="00473160"/>
    <w:rsid w:val="004744B1"/>
    <w:rsid w:val="00481C9A"/>
    <w:rsid w:val="00486C79"/>
    <w:rsid w:val="00487162"/>
    <w:rsid w:val="004872AA"/>
    <w:rsid w:val="004920F2"/>
    <w:rsid w:val="0049463D"/>
    <w:rsid w:val="0049542B"/>
    <w:rsid w:val="004962CE"/>
    <w:rsid w:val="0049777E"/>
    <w:rsid w:val="00497C99"/>
    <w:rsid w:val="004A00BB"/>
    <w:rsid w:val="004A0B5F"/>
    <w:rsid w:val="004A5558"/>
    <w:rsid w:val="004A5A7C"/>
    <w:rsid w:val="004A63EE"/>
    <w:rsid w:val="004A71DA"/>
    <w:rsid w:val="004B0E1B"/>
    <w:rsid w:val="004B18D3"/>
    <w:rsid w:val="004B1D97"/>
    <w:rsid w:val="004B4D96"/>
    <w:rsid w:val="004B5043"/>
    <w:rsid w:val="004B52F6"/>
    <w:rsid w:val="004B6C43"/>
    <w:rsid w:val="004B7190"/>
    <w:rsid w:val="004B7C65"/>
    <w:rsid w:val="004C056D"/>
    <w:rsid w:val="004C2780"/>
    <w:rsid w:val="004C358C"/>
    <w:rsid w:val="004C4222"/>
    <w:rsid w:val="004C7BC0"/>
    <w:rsid w:val="004D0A35"/>
    <w:rsid w:val="004D704E"/>
    <w:rsid w:val="004D7455"/>
    <w:rsid w:val="004E0752"/>
    <w:rsid w:val="004E0CF1"/>
    <w:rsid w:val="004E2419"/>
    <w:rsid w:val="004E2DB1"/>
    <w:rsid w:val="004E3AA7"/>
    <w:rsid w:val="004E431C"/>
    <w:rsid w:val="004E4E11"/>
    <w:rsid w:val="004E56AE"/>
    <w:rsid w:val="004F0351"/>
    <w:rsid w:val="004F1E04"/>
    <w:rsid w:val="004F2625"/>
    <w:rsid w:val="004F4B47"/>
    <w:rsid w:val="004F5D10"/>
    <w:rsid w:val="00501452"/>
    <w:rsid w:val="00502278"/>
    <w:rsid w:val="00502505"/>
    <w:rsid w:val="005030B8"/>
    <w:rsid w:val="00504491"/>
    <w:rsid w:val="00506CA3"/>
    <w:rsid w:val="0050765A"/>
    <w:rsid w:val="00512EBD"/>
    <w:rsid w:val="0051380C"/>
    <w:rsid w:val="00513B7D"/>
    <w:rsid w:val="0051420C"/>
    <w:rsid w:val="00521CB8"/>
    <w:rsid w:val="0052208B"/>
    <w:rsid w:val="005222F9"/>
    <w:rsid w:val="00523E09"/>
    <w:rsid w:val="005243AD"/>
    <w:rsid w:val="0052455F"/>
    <w:rsid w:val="00524653"/>
    <w:rsid w:val="005261BF"/>
    <w:rsid w:val="00530CF7"/>
    <w:rsid w:val="00530F24"/>
    <w:rsid w:val="00531245"/>
    <w:rsid w:val="00533CBE"/>
    <w:rsid w:val="00534104"/>
    <w:rsid w:val="00535D26"/>
    <w:rsid w:val="00540A87"/>
    <w:rsid w:val="005415B0"/>
    <w:rsid w:val="005417BB"/>
    <w:rsid w:val="0054284A"/>
    <w:rsid w:val="00542885"/>
    <w:rsid w:val="0054323D"/>
    <w:rsid w:val="005434F5"/>
    <w:rsid w:val="00550E23"/>
    <w:rsid w:val="00554A6B"/>
    <w:rsid w:val="00556079"/>
    <w:rsid w:val="00556471"/>
    <w:rsid w:val="0055754A"/>
    <w:rsid w:val="0056091E"/>
    <w:rsid w:val="00561E6A"/>
    <w:rsid w:val="00563B14"/>
    <w:rsid w:val="00564C90"/>
    <w:rsid w:val="005650FA"/>
    <w:rsid w:val="0056765C"/>
    <w:rsid w:val="00570F9C"/>
    <w:rsid w:val="0057164C"/>
    <w:rsid w:val="0057205C"/>
    <w:rsid w:val="0057527F"/>
    <w:rsid w:val="0057607E"/>
    <w:rsid w:val="00577C47"/>
    <w:rsid w:val="005811F3"/>
    <w:rsid w:val="00582456"/>
    <w:rsid w:val="0058369C"/>
    <w:rsid w:val="0058377A"/>
    <w:rsid w:val="00583CE6"/>
    <w:rsid w:val="005846FB"/>
    <w:rsid w:val="005908C7"/>
    <w:rsid w:val="0059173C"/>
    <w:rsid w:val="00591B16"/>
    <w:rsid w:val="00591D43"/>
    <w:rsid w:val="00592926"/>
    <w:rsid w:val="00593DC6"/>
    <w:rsid w:val="005941BA"/>
    <w:rsid w:val="00596B27"/>
    <w:rsid w:val="00596B92"/>
    <w:rsid w:val="005A1A50"/>
    <w:rsid w:val="005A4444"/>
    <w:rsid w:val="005A518F"/>
    <w:rsid w:val="005A60F8"/>
    <w:rsid w:val="005B0610"/>
    <w:rsid w:val="005B0E67"/>
    <w:rsid w:val="005B1C10"/>
    <w:rsid w:val="005B38E7"/>
    <w:rsid w:val="005B4DB8"/>
    <w:rsid w:val="005B4F40"/>
    <w:rsid w:val="005B78CD"/>
    <w:rsid w:val="005B7EB5"/>
    <w:rsid w:val="005C08EB"/>
    <w:rsid w:val="005C0937"/>
    <w:rsid w:val="005C1B11"/>
    <w:rsid w:val="005C1BE5"/>
    <w:rsid w:val="005C2231"/>
    <w:rsid w:val="005C2FCE"/>
    <w:rsid w:val="005C4B01"/>
    <w:rsid w:val="005C4C4D"/>
    <w:rsid w:val="005C4C84"/>
    <w:rsid w:val="005C5008"/>
    <w:rsid w:val="005C7701"/>
    <w:rsid w:val="005D1075"/>
    <w:rsid w:val="005D3D16"/>
    <w:rsid w:val="005D4F79"/>
    <w:rsid w:val="005D5730"/>
    <w:rsid w:val="005D66AD"/>
    <w:rsid w:val="005E097A"/>
    <w:rsid w:val="005E249A"/>
    <w:rsid w:val="005E39B7"/>
    <w:rsid w:val="005E4DA1"/>
    <w:rsid w:val="005E4F9C"/>
    <w:rsid w:val="005F396C"/>
    <w:rsid w:val="005F41E3"/>
    <w:rsid w:val="005F422D"/>
    <w:rsid w:val="005F432E"/>
    <w:rsid w:val="005F67A7"/>
    <w:rsid w:val="00607A77"/>
    <w:rsid w:val="00607F82"/>
    <w:rsid w:val="00611E08"/>
    <w:rsid w:val="00613D09"/>
    <w:rsid w:val="00620C4C"/>
    <w:rsid w:val="00621AAC"/>
    <w:rsid w:val="006237EE"/>
    <w:rsid w:val="00623A57"/>
    <w:rsid w:val="00624044"/>
    <w:rsid w:val="0062655A"/>
    <w:rsid w:val="006304AC"/>
    <w:rsid w:val="00630C29"/>
    <w:rsid w:val="00634AD2"/>
    <w:rsid w:val="00635D4B"/>
    <w:rsid w:val="00636918"/>
    <w:rsid w:val="00637742"/>
    <w:rsid w:val="00637ACC"/>
    <w:rsid w:val="006430F4"/>
    <w:rsid w:val="006446EE"/>
    <w:rsid w:val="0064556B"/>
    <w:rsid w:val="00645B3A"/>
    <w:rsid w:val="0064785E"/>
    <w:rsid w:val="0065065A"/>
    <w:rsid w:val="00652B84"/>
    <w:rsid w:val="006535D5"/>
    <w:rsid w:val="00654D62"/>
    <w:rsid w:val="00657CED"/>
    <w:rsid w:val="00661F3C"/>
    <w:rsid w:val="0066236B"/>
    <w:rsid w:val="0066315D"/>
    <w:rsid w:val="00663C3B"/>
    <w:rsid w:val="006660EB"/>
    <w:rsid w:val="006711CC"/>
    <w:rsid w:val="00671DBE"/>
    <w:rsid w:val="00673442"/>
    <w:rsid w:val="006742F0"/>
    <w:rsid w:val="0067443F"/>
    <w:rsid w:val="00675523"/>
    <w:rsid w:val="0067714B"/>
    <w:rsid w:val="00680B10"/>
    <w:rsid w:val="00681757"/>
    <w:rsid w:val="006817F1"/>
    <w:rsid w:val="006834FD"/>
    <w:rsid w:val="00683D63"/>
    <w:rsid w:val="00694233"/>
    <w:rsid w:val="00694B17"/>
    <w:rsid w:val="0069725C"/>
    <w:rsid w:val="006A14B9"/>
    <w:rsid w:val="006A192B"/>
    <w:rsid w:val="006A1B34"/>
    <w:rsid w:val="006A20E2"/>
    <w:rsid w:val="006A49A1"/>
    <w:rsid w:val="006A5728"/>
    <w:rsid w:val="006A7078"/>
    <w:rsid w:val="006A7144"/>
    <w:rsid w:val="006A7CA7"/>
    <w:rsid w:val="006B003F"/>
    <w:rsid w:val="006B0BE1"/>
    <w:rsid w:val="006B171A"/>
    <w:rsid w:val="006B22F3"/>
    <w:rsid w:val="006B3D79"/>
    <w:rsid w:val="006B543E"/>
    <w:rsid w:val="006B590A"/>
    <w:rsid w:val="006B62BC"/>
    <w:rsid w:val="006B69F0"/>
    <w:rsid w:val="006C024C"/>
    <w:rsid w:val="006C0F1A"/>
    <w:rsid w:val="006C3472"/>
    <w:rsid w:val="006C4A7C"/>
    <w:rsid w:val="006C727D"/>
    <w:rsid w:val="006C7B24"/>
    <w:rsid w:val="006D03C0"/>
    <w:rsid w:val="006D075C"/>
    <w:rsid w:val="006D1088"/>
    <w:rsid w:val="006D2001"/>
    <w:rsid w:val="006D2191"/>
    <w:rsid w:val="006D36DC"/>
    <w:rsid w:val="006D3B43"/>
    <w:rsid w:val="006D5F1A"/>
    <w:rsid w:val="006D7001"/>
    <w:rsid w:val="006D7B38"/>
    <w:rsid w:val="006E0E6F"/>
    <w:rsid w:val="006E11EB"/>
    <w:rsid w:val="006E2F18"/>
    <w:rsid w:val="006E306D"/>
    <w:rsid w:val="006E390E"/>
    <w:rsid w:val="006E62DF"/>
    <w:rsid w:val="006E7E68"/>
    <w:rsid w:val="006F19E7"/>
    <w:rsid w:val="006F44D4"/>
    <w:rsid w:val="006F52A5"/>
    <w:rsid w:val="00702018"/>
    <w:rsid w:val="007027C7"/>
    <w:rsid w:val="00702D28"/>
    <w:rsid w:val="007048DB"/>
    <w:rsid w:val="0070739D"/>
    <w:rsid w:val="00710C26"/>
    <w:rsid w:val="007114C9"/>
    <w:rsid w:val="0071153C"/>
    <w:rsid w:val="007129E1"/>
    <w:rsid w:val="007142DC"/>
    <w:rsid w:val="007151AD"/>
    <w:rsid w:val="00716853"/>
    <w:rsid w:val="0071794D"/>
    <w:rsid w:val="00717AC5"/>
    <w:rsid w:val="0072318D"/>
    <w:rsid w:val="00723358"/>
    <w:rsid w:val="00725CC3"/>
    <w:rsid w:val="00725D34"/>
    <w:rsid w:val="00733170"/>
    <w:rsid w:val="00734908"/>
    <w:rsid w:val="00734E09"/>
    <w:rsid w:val="00735979"/>
    <w:rsid w:val="00740051"/>
    <w:rsid w:val="007408D6"/>
    <w:rsid w:val="00741535"/>
    <w:rsid w:val="00743F7B"/>
    <w:rsid w:val="00746474"/>
    <w:rsid w:val="00746807"/>
    <w:rsid w:val="00751F7C"/>
    <w:rsid w:val="00754961"/>
    <w:rsid w:val="00754DD7"/>
    <w:rsid w:val="00755984"/>
    <w:rsid w:val="00760648"/>
    <w:rsid w:val="007609DF"/>
    <w:rsid w:val="00760A57"/>
    <w:rsid w:val="00762F75"/>
    <w:rsid w:val="007662FA"/>
    <w:rsid w:val="007665EE"/>
    <w:rsid w:val="00766732"/>
    <w:rsid w:val="00767FB5"/>
    <w:rsid w:val="007702D1"/>
    <w:rsid w:val="00772F36"/>
    <w:rsid w:val="00773A3D"/>
    <w:rsid w:val="007755E9"/>
    <w:rsid w:val="007771A7"/>
    <w:rsid w:val="007776D9"/>
    <w:rsid w:val="00780A64"/>
    <w:rsid w:val="007830FF"/>
    <w:rsid w:val="0078657A"/>
    <w:rsid w:val="00786993"/>
    <w:rsid w:val="00790776"/>
    <w:rsid w:val="00792878"/>
    <w:rsid w:val="00794CAB"/>
    <w:rsid w:val="007A119A"/>
    <w:rsid w:val="007B0B54"/>
    <w:rsid w:val="007B0BB2"/>
    <w:rsid w:val="007B10AF"/>
    <w:rsid w:val="007B168E"/>
    <w:rsid w:val="007B5C12"/>
    <w:rsid w:val="007B5E10"/>
    <w:rsid w:val="007C1243"/>
    <w:rsid w:val="007C33E9"/>
    <w:rsid w:val="007C545B"/>
    <w:rsid w:val="007C79BD"/>
    <w:rsid w:val="007D17E8"/>
    <w:rsid w:val="007D2568"/>
    <w:rsid w:val="007D2816"/>
    <w:rsid w:val="007D2A4D"/>
    <w:rsid w:val="007D3291"/>
    <w:rsid w:val="007D3682"/>
    <w:rsid w:val="007D5FA1"/>
    <w:rsid w:val="007E0870"/>
    <w:rsid w:val="007E163F"/>
    <w:rsid w:val="007E3788"/>
    <w:rsid w:val="007E57FF"/>
    <w:rsid w:val="007E696D"/>
    <w:rsid w:val="007F03CF"/>
    <w:rsid w:val="007F1333"/>
    <w:rsid w:val="007F1548"/>
    <w:rsid w:val="007F1D00"/>
    <w:rsid w:val="007F32A5"/>
    <w:rsid w:val="007F3CA4"/>
    <w:rsid w:val="007F7ACB"/>
    <w:rsid w:val="00800069"/>
    <w:rsid w:val="00800CA0"/>
    <w:rsid w:val="0080130E"/>
    <w:rsid w:val="008018DD"/>
    <w:rsid w:val="00802EBB"/>
    <w:rsid w:val="00804119"/>
    <w:rsid w:val="00804B48"/>
    <w:rsid w:val="008057C9"/>
    <w:rsid w:val="00805ED2"/>
    <w:rsid w:val="008079FB"/>
    <w:rsid w:val="008121F8"/>
    <w:rsid w:val="0081320A"/>
    <w:rsid w:val="00814DDC"/>
    <w:rsid w:val="008152CF"/>
    <w:rsid w:val="00817F87"/>
    <w:rsid w:val="00820AFC"/>
    <w:rsid w:val="0082111A"/>
    <w:rsid w:val="00821D2E"/>
    <w:rsid w:val="0082699C"/>
    <w:rsid w:val="0083198E"/>
    <w:rsid w:val="00832D90"/>
    <w:rsid w:val="00833A90"/>
    <w:rsid w:val="00835656"/>
    <w:rsid w:val="0083678E"/>
    <w:rsid w:val="00841EC5"/>
    <w:rsid w:val="00843536"/>
    <w:rsid w:val="008443E7"/>
    <w:rsid w:val="00846059"/>
    <w:rsid w:val="00846843"/>
    <w:rsid w:val="00846AE0"/>
    <w:rsid w:val="00847A47"/>
    <w:rsid w:val="00850234"/>
    <w:rsid w:val="008519D5"/>
    <w:rsid w:val="00856418"/>
    <w:rsid w:val="00856B90"/>
    <w:rsid w:val="00857093"/>
    <w:rsid w:val="0086138D"/>
    <w:rsid w:val="008614DE"/>
    <w:rsid w:val="00862154"/>
    <w:rsid w:val="00863B1B"/>
    <w:rsid w:val="008653DD"/>
    <w:rsid w:val="00866F62"/>
    <w:rsid w:val="0087078A"/>
    <w:rsid w:val="0087191F"/>
    <w:rsid w:val="00871D84"/>
    <w:rsid w:val="00873192"/>
    <w:rsid w:val="008776A3"/>
    <w:rsid w:val="008850E5"/>
    <w:rsid w:val="0088524D"/>
    <w:rsid w:val="008863EA"/>
    <w:rsid w:val="00887ECD"/>
    <w:rsid w:val="0089092E"/>
    <w:rsid w:val="00892789"/>
    <w:rsid w:val="008927B4"/>
    <w:rsid w:val="0089353E"/>
    <w:rsid w:val="00893F23"/>
    <w:rsid w:val="008947DB"/>
    <w:rsid w:val="00894B21"/>
    <w:rsid w:val="008A1243"/>
    <w:rsid w:val="008A2BD8"/>
    <w:rsid w:val="008A3FA9"/>
    <w:rsid w:val="008A5F5B"/>
    <w:rsid w:val="008A7722"/>
    <w:rsid w:val="008B4978"/>
    <w:rsid w:val="008B5981"/>
    <w:rsid w:val="008B6354"/>
    <w:rsid w:val="008C0ACE"/>
    <w:rsid w:val="008C2C7B"/>
    <w:rsid w:val="008C3789"/>
    <w:rsid w:val="008C6870"/>
    <w:rsid w:val="008D33FC"/>
    <w:rsid w:val="008D3BF9"/>
    <w:rsid w:val="008D5731"/>
    <w:rsid w:val="008D660D"/>
    <w:rsid w:val="008E0A1D"/>
    <w:rsid w:val="008E24E7"/>
    <w:rsid w:val="008E2871"/>
    <w:rsid w:val="008E29C0"/>
    <w:rsid w:val="008E2EBB"/>
    <w:rsid w:val="008E39C5"/>
    <w:rsid w:val="008E4036"/>
    <w:rsid w:val="008E649B"/>
    <w:rsid w:val="008F1097"/>
    <w:rsid w:val="008F6285"/>
    <w:rsid w:val="00902028"/>
    <w:rsid w:val="00902567"/>
    <w:rsid w:val="0091126E"/>
    <w:rsid w:val="009117D3"/>
    <w:rsid w:val="00912122"/>
    <w:rsid w:val="009124C5"/>
    <w:rsid w:val="00914F2A"/>
    <w:rsid w:val="009170E7"/>
    <w:rsid w:val="00917C15"/>
    <w:rsid w:val="00923571"/>
    <w:rsid w:val="00927CD8"/>
    <w:rsid w:val="00932B57"/>
    <w:rsid w:val="00932E83"/>
    <w:rsid w:val="00933BE6"/>
    <w:rsid w:val="00933F2C"/>
    <w:rsid w:val="0093466B"/>
    <w:rsid w:val="00937D98"/>
    <w:rsid w:val="00941329"/>
    <w:rsid w:val="0094262C"/>
    <w:rsid w:val="00942DAC"/>
    <w:rsid w:val="00943B87"/>
    <w:rsid w:val="0094718B"/>
    <w:rsid w:val="00947688"/>
    <w:rsid w:val="00950AF2"/>
    <w:rsid w:val="009565F4"/>
    <w:rsid w:val="00963B4F"/>
    <w:rsid w:val="0096677F"/>
    <w:rsid w:val="00966B2F"/>
    <w:rsid w:val="00967680"/>
    <w:rsid w:val="00967699"/>
    <w:rsid w:val="0097090C"/>
    <w:rsid w:val="009715D6"/>
    <w:rsid w:val="00971876"/>
    <w:rsid w:val="00971A9D"/>
    <w:rsid w:val="00971D1C"/>
    <w:rsid w:val="009750DF"/>
    <w:rsid w:val="00980AA9"/>
    <w:rsid w:val="00980DCC"/>
    <w:rsid w:val="00980F19"/>
    <w:rsid w:val="0098108F"/>
    <w:rsid w:val="0098174F"/>
    <w:rsid w:val="00983C4B"/>
    <w:rsid w:val="00983DBC"/>
    <w:rsid w:val="0098407C"/>
    <w:rsid w:val="00986ED8"/>
    <w:rsid w:val="009914F2"/>
    <w:rsid w:val="00992AD0"/>
    <w:rsid w:val="0099463A"/>
    <w:rsid w:val="00994E76"/>
    <w:rsid w:val="00994F1E"/>
    <w:rsid w:val="00995422"/>
    <w:rsid w:val="00997F8B"/>
    <w:rsid w:val="009A047A"/>
    <w:rsid w:val="009A260E"/>
    <w:rsid w:val="009A6FCD"/>
    <w:rsid w:val="009A7369"/>
    <w:rsid w:val="009A7B0E"/>
    <w:rsid w:val="009B0F07"/>
    <w:rsid w:val="009B1F38"/>
    <w:rsid w:val="009B3146"/>
    <w:rsid w:val="009B4F83"/>
    <w:rsid w:val="009B6427"/>
    <w:rsid w:val="009C2859"/>
    <w:rsid w:val="009C2D40"/>
    <w:rsid w:val="009C2DA1"/>
    <w:rsid w:val="009C325B"/>
    <w:rsid w:val="009C3E70"/>
    <w:rsid w:val="009C419C"/>
    <w:rsid w:val="009C683B"/>
    <w:rsid w:val="009C6E64"/>
    <w:rsid w:val="009C794C"/>
    <w:rsid w:val="009D02D0"/>
    <w:rsid w:val="009D05B8"/>
    <w:rsid w:val="009D3B7A"/>
    <w:rsid w:val="009D3F46"/>
    <w:rsid w:val="009D5E38"/>
    <w:rsid w:val="009D644B"/>
    <w:rsid w:val="009E0E8E"/>
    <w:rsid w:val="009E2053"/>
    <w:rsid w:val="009E3F67"/>
    <w:rsid w:val="009E4059"/>
    <w:rsid w:val="009E56D2"/>
    <w:rsid w:val="009E7BC8"/>
    <w:rsid w:val="009F1DDC"/>
    <w:rsid w:val="009F5A8B"/>
    <w:rsid w:val="009F6205"/>
    <w:rsid w:val="009F68D9"/>
    <w:rsid w:val="009F7548"/>
    <w:rsid w:val="009F7ACD"/>
    <w:rsid w:val="00A01D19"/>
    <w:rsid w:val="00A02942"/>
    <w:rsid w:val="00A048D7"/>
    <w:rsid w:val="00A04A4B"/>
    <w:rsid w:val="00A05EEC"/>
    <w:rsid w:val="00A074D2"/>
    <w:rsid w:val="00A11E0C"/>
    <w:rsid w:val="00A1315D"/>
    <w:rsid w:val="00A13A91"/>
    <w:rsid w:val="00A1468A"/>
    <w:rsid w:val="00A14C59"/>
    <w:rsid w:val="00A14E42"/>
    <w:rsid w:val="00A1753A"/>
    <w:rsid w:val="00A200BA"/>
    <w:rsid w:val="00A200EA"/>
    <w:rsid w:val="00A2087A"/>
    <w:rsid w:val="00A22D84"/>
    <w:rsid w:val="00A23350"/>
    <w:rsid w:val="00A244EA"/>
    <w:rsid w:val="00A245D2"/>
    <w:rsid w:val="00A24D01"/>
    <w:rsid w:val="00A261FE"/>
    <w:rsid w:val="00A26996"/>
    <w:rsid w:val="00A27048"/>
    <w:rsid w:val="00A27CD2"/>
    <w:rsid w:val="00A27F91"/>
    <w:rsid w:val="00A32F97"/>
    <w:rsid w:val="00A368E5"/>
    <w:rsid w:val="00A40270"/>
    <w:rsid w:val="00A410AD"/>
    <w:rsid w:val="00A41A3C"/>
    <w:rsid w:val="00A43D3F"/>
    <w:rsid w:val="00A456ED"/>
    <w:rsid w:val="00A45BD6"/>
    <w:rsid w:val="00A50439"/>
    <w:rsid w:val="00A53C05"/>
    <w:rsid w:val="00A54AF2"/>
    <w:rsid w:val="00A5505C"/>
    <w:rsid w:val="00A572BC"/>
    <w:rsid w:val="00A607B4"/>
    <w:rsid w:val="00A6213A"/>
    <w:rsid w:val="00A65F98"/>
    <w:rsid w:val="00A72B99"/>
    <w:rsid w:val="00A7392E"/>
    <w:rsid w:val="00A74411"/>
    <w:rsid w:val="00A7531C"/>
    <w:rsid w:val="00A767F3"/>
    <w:rsid w:val="00A76DC9"/>
    <w:rsid w:val="00A76DFA"/>
    <w:rsid w:val="00A80412"/>
    <w:rsid w:val="00A815DD"/>
    <w:rsid w:val="00A827FE"/>
    <w:rsid w:val="00A839AF"/>
    <w:rsid w:val="00A878B1"/>
    <w:rsid w:val="00A87B7E"/>
    <w:rsid w:val="00A90776"/>
    <w:rsid w:val="00A93D98"/>
    <w:rsid w:val="00A93F6A"/>
    <w:rsid w:val="00A94AD1"/>
    <w:rsid w:val="00A94DDA"/>
    <w:rsid w:val="00A94E0C"/>
    <w:rsid w:val="00A97269"/>
    <w:rsid w:val="00AA0667"/>
    <w:rsid w:val="00AA08E2"/>
    <w:rsid w:val="00AA1446"/>
    <w:rsid w:val="00AA1EA5"/>
    <w:rsid w:val="00AA2592"/>
    <w:rsid w:val="00AA4D5E"/>
    <w:rsid w:val="00AA4ED6"/>
    <w:rsid w:val="00AA567F"/>
    <w:rsid w:val="00AA5F85"/>
    <w:rsid w:val="00AA672F"/>
    <w:rsid w:val="00AA6CF4"/>
    <w:rsid w:val="00AA6D01"/>
    <w:rsid w:val="00AA6F9E"/>
    <w:rsid w:val="00AB003E"/>
    <w:rsid w:val="00AB0F4D"/>
    <w:rsid w:val="00AB1C33"/>
    <w:rsid w:val="00AB3070"/>
    <w:rsid w:val="00AB32F7"/>
    <w:rsid w:val="00AB647C"/>
    <w:rsid w:val="00AC0652"/>
    <w:rsid w:val="00AC1140"/>
    <w:rsid w:val="00AC1685"/>
    <w:rsid w:val="00AC2CEB"/>
    <w:rsid w:val="00AC39D3"/>
    <w:rsid w:val="00AC6E9B"/>
    <w:rsid w:val="00AC7140"/>
    <w:rsid w:val="00AD4133"/>
    <w:rsid w:val="00AD73D5"/>
    <w:rsid w:val="00AE0586"/>
    <w:rsid w:val="00AE100E"/>
    <w:rsid w:val="00AE156C"/>
    <w:rsid w:val="00AE1DFD"/>
    <w:rsid w:val="00AE2FB5"/>
    <w:rsid w:val="00AE5CAB"/>
    <w:rsid w:val="00AE750D"/>
    <w:rsid w:val="00AE7EC8"/>
    <w:rsid w:val="00AF16A8"/>
    <w:rsid w:val="00AF429A"/>
    <w:rsid w:val="00AF5172"/>
    <w:rsid w:val="00AF51A2"/>
    <w:rsid w:val="00B02774"/>
    <w:rsid w:val="00B04A4F"/>
    <w:rsid w:val="00B05408"/>
    <w:rsid w:val="00B057C6"/>
    <w:rsid w:val="00B05BB5"/>
    <w:rsid w:val="00B06FF7"/>
    <w:rsid w:val="00B10CC7"/>
    <w:rsid w:val="00B1109E"/>
    <w:rsid w:val="00B11112"/>
    <w:rsid w:val="00B1116F"/>
    <w:rsid w:val="00B12226"/>
    <w:rsid w:val="00B124B6"/>
    <w:rsid w:val="00B16503"/>
    <w:rsid w:val="00B173C1"/>
    <w:rsid w:val="00B179EE"/>
    <w:rsid w:val="00B237FC"/>
    <w:rsid w:val="00B24ABE"/>
    <w:rsid w:val="00B25388"/>
    <w:rsid w:val="00B263DF"/>
    <w:rsid w:val="00B266F5"/>
    <w:rsid w:val="00B27B31"/>
    <w:rsid w:val="00B30640"/>
    <w:rsid w:val="00B31AFB"/>
    <w:rsid w:val="00B4110B"/>
    <w:rsid w:val="00B5149B"/>
    <w:rsid w:val="00B5180E"/>
    <w:rsid w:val="00B544BF"/>
    <w:rsid w:val="00B55B05"/>
    <w:rsid w:val="00B561D1"/>
    <w:rsid w:val="00B57114"/>
    <w:rsid w:val="00B620B4"/>
    <w:rsid w:val="00B6223A"/>
    <w:rsid w:val="00B62FFE"/>
    <w:rsid w:val="00B71029"/>
    <w:rsid w:val="00B71DE8"/>
    <w:rsid w:val="00B7313E"/>
    <w:rsid w:val="00B73703"/>
    <w:rsid w:val="00B75F57"/>
    <w:rsid w:val="00B76E19"/>
    <w:rsid w:val="00B8006D"/>
    <w:rsid w:val="00B801BD"/>
    <w:rsid w:val="00B80BAB"/>
    <w:rsid w:val="00B80CCA"/>
    <w:rsid w:val="00B826F0"/>
    <w:rsid w:val="00B84E3C"/>
    <w:rsid w:val="00B85D11"/>
    <w:rsid w:val="00B85FA4"/>
    <w:rsid w:val="00B865EB"/>
    <w:rsid w:val="00B8684E"/>
    <w:rsid w:val="00B86E96"/>
    <w:rsid w:val="00B90C13"/>
    <w:rsid w:val="00B9396B"/>
    <w:rsid w:val="00B9774E"/>
    <w:rsid w:val="00BA21D5"/>
    <w:rsid w:val="00BA5B4E"/>
    <w:rsid w:val="00BA5CF7"/>
    <w:rsid w:val="00BA63B9"/>
    <w:rsid w:val="00BB1048"/>
    <w:rsid w:val="00BB166E"/>
    <w:rsid w:val="00BB54AA"/>
    <w:rsid w:val="00BC2354"/>
    <w:rsid w:val="00BC6579"/>
    <w:rsid w:val="00BC6EE6"/>
    <w:rsid w:val="00BD1297"/>
    <w:rsid w:val="00BD18CB"/>
    <w:rsid w:val="00BD25C7"/>
    <w:rsid w:val="00BD7095"/>
    <w:rsid w:val="00BD7810"/>
    <w:rsid w:val="00BD7C13"/>
    <w:rsid w:val="00BE0B34"/>
    <w:rsid w:val="00BE26FD"/>
    <w:rsid w:val="00BE36B8"/>
    <w:rsid w:val="00BE37FC"/>
    <w:rsid w:val="00BE4649"/>
    <w:rsid w:val="00BE5297"/>
    <w:rsid w:val="00BE540A"/>
    <w:rsid w:val="00BF1076"/>
    <w:rsid w:val="00BF6FDB"/>
    <w:rsid w:val="00BF7709"/>
    <w:rsid w:val="00BF7A3D"/>
    <w:rsid w:val="00C01D68"/>
    <w:rsid w:val="00C02BD7"/>
    <w:rsid w:val="00C05BF5"/>
    <w:rsid w:val="00C10849"/>
    <w:rsid w:val="00C1172B"/>
    <w:rsid w:val="00C130C4"/>
    <w:rsid w:val="00C132F1"/>
    <w:rsid w:val="00C2116A"/>
    <w:rsid w:val="00C22A1C"/>
    <w:rsid w:val="00C22A5B"/>
    <w:rsid w:val="00C240A7"/>
    <w:rsid w:val="00C24BF5"/>
    <w:rsid w:val="00C33271"/>
    <w:rsid w:val="00C353AA"/>
    <w:rsid w:val="00C379E4"/>
    <w:rsid w:val="00C37AFC"/>
    <w:rsid w:val="00C41503"/>
    <w:rsid w:val="00C43B6D"/>
    <w:rsid w:val="00C441E6"/>
    <w:rsid w:val="00C46962"/>
    <w:rsid w:val="00C47FDF"/>
    <w:rsid w:val="00C50BC5"/>
    <w:rsid w:val="00C5119F"/>
    <w:rsid w:val="00C53625"/>
    <w:rsid w:val="00C53D53"/>
    <w:rsid w:val="00C54288"/>
    <w:rsid w:val="00C629D6"/>
    <w:rsid w:val="00C64C8B"/>
    <w:rsid w:val="00C650A0"/>
    <w:rsid w:val="00C659B8"/>
    <w:rsid w:val="00C6649F"/>
    <w:rsid w:val="00C723B8"/>
    <w:rsid w:val="00C72B8F"/>
    <w:rsid w:val="00C7304F"/>
    <w:rsid w:val="00C751C0"/>
    <w:rsid w:val="00C754B3"/>
    <w:rsid w:val="00C7596A"/>
    <w:rsid w:val="00C817ED"/>
    <w:rsid w:val="00C85603"/>
    <w:rsid w:val="00C8668E"/>
    <w:rsid w:val="00C87827"/>
    <w:rsid w:val="00C90EE5"/>
    <w:rsid w:val="00C90F0F"/>
    <w:rsid w:val="00C914D8"/>
    <w:rsid w:val="00C923D3"/>
    <w:rsid w:val="00C940FF"/>
    <w:rsid w:val="00C9490C"/>
    <w:rsid w:val="00C9554B"/>
    <w:rsid w:val="00C963A4"/>
    <w:rsid w:val="00C97212"/>
    <w:rsid w:val="00C97BF5"/>
    <w:rsid w:val="00CA0552"/>
    <w:rsid w:val="00CA5796"/>
    <w:rsid w:val="00CA6B31"/>
    <w:rsid w:val="00CB06EF"/>
    <w:rsid w:val="00CB0F3B"/>
    <w:rsid w:val="00CB154D"/>
    <w:rsid w:val="00CB1B02"/>
    <w:rsid w:val="00CB2403"/>
    <w:rsid w:val="00CB5E2F"/>
    <w:rsid w:val="00CB6C91"/>
    <w:rsid w:val="00CC2094"/>
    <w:rsid w:val="00CC36CE"/>
    <w:rsid w:val="00CC3ECC"/>
    <w:rsid w:val="00CC4AAE"/>
    <w:rsid w:val="00CC4D11"/>
    <w:rsid w:val="00CC5B11"/>
    <w:rsid w:val="00CC5CC1"/>
    <w:rsid w:val="00CD2A2A"/>
    <w:rsid w:val="00CD38AC"/>
    <w:rsid w:val="00CD5288"/>
    <w:rsid w:val="00CD55E6"/>
    <w:rsid w:val="00CD56D9"/>
    <w:rsid w:val="00CE287B"/>
    <w:rsid w:val="00CE3E1A"/>
    <w:rsid w:val="00CE48EF"/>
    <w:rsid w:val="00CE4CAC"/>
    <w:rsid w:val="00CE51FF"/>
    <w:rsid w:val="00CE5C6A"/>
    <w:rsid w:val="00CE6A4C"/>
    <w:rsid w:val="00CE72F0"/>
    <w:rsid w:val="00CE79ED"/>
    <w:rsid w:val="00CE7A50"/>
    <w:rsid w:val="00CF1149"/>
    <w:rsid w:val="00CF1164"/>
    <w:rsid w:val="00CF223F"/>
    <w:rsid w:val="00CF23A8"/>
    <w:rsid w:val="00CF32D1"/>
    <w:rsid w:val="00CF570D"/>
    <w:rsid w:val="00CF69F2"/>
    <w:rsid w:val="00D01531"/>
    <w:rsid w:val="00D03D34"/>
    <w:rsid w:val="00D051C7"/>
    <w:rsid w:val="00D0604D"/>
    <w:rsid w:val="00D06249"/>
    <w:rsid w:val="00D06D47"/>
    <w:rsid w:val="00D07448"/>
    <w:rsid w:val="00D10EE1"/>
    <w:rsid w:val="00D11457"/>
    <w:rsid w:val="00D15DBD"/>
    <w:rsid w:val="00D16A7C"/>
    <w:rsid w:val="00D206CB"/>
    <w:rsid w:val="00D23AA6"/>
    <w:rsid w:val="00D330BC"/>
    <w:rsid w:val="00D33788"/>
    <w:rsid w:val="00D33CF1"/>
    <w:rsid w:val="00D34530"/>
    <w:rsid w:val="00D34EAC"/>
    <w:rsid w:val="00D361C1"/>
    <w:rsid w:val="00D36A0B"/>
    <w:rsid w:val="00D4634F"/>
    <w:rsid w:val="00D47342"/>
    <w:rsid w:val="00D51318"/>
    <w:rsid w:val="00D55F7F"/>
    <w:rsid w:val="00D61BA7"/>
    <w:rsid w:val="00D624C6"/>
    <w:rsid w:val="00D62FE9"/>
    <w:rsid w:val="00D639F5"/>
    <w:rsid w:val="00D6484C"/>
    <w:rsid w:val="00D6615B"/>
    <w:rsid w:val="00D67821"/>
    <w:rsid w:val="00D67D1A"/>
    <w:rsid w:val="00D717AD"/>
    <w:rsid w:val="00D73D9C"/>
    <w:rsid w:val="00D7450D"/>
    <w:rsid w:val="00D7510D"/>
    <w:rsid w:val="00D76200"/>
    <w:rsid w:val="00D76BA1"/>
    <w:rsid w:val="00D870D4"/>
    <w:rsid w:val="00D87EEF"/>
    <w:rsid w:val="00D91AF6"/>
    <w:rsid w:val="00D91B45"/>
    <w:rsid w:val="00D92417"/>
    <w:rsid w:val="00D9246A"/>
    <w:rsid w:val="00D953D5"/>
    <w:rsid w:val="00DA0DEF"/>
    <w:rsid w:val="00DA115C"/>
    <w:rsid w:val="00DA5619"/>
    <w:rsid w:val="00DA65B7"/>
    <w:rsid w:val="00DB37F9"/>
    <w:rsid w:val="00DB5D45"/>
    <w:rsid w:val="00DB5D9B"/>
    <w:rsid w:val="00DB7A45"/>
    <w:rsid w:val="00DB7D22"/>
    <w:rsid w:val="00DC0736"/>
    <w:rsid w:val="00DC0EF9"/>
    <w:rsid w:val="00DC3E80"/>
    <w:rsid w:val="00DC57F9"/>
    <w:rsid w:val="00DC6749"/>
    <w:rsid w:val="00DD1545"/>
    <w:rsid w:val="00DD668B"/>
    <w:rsid w:val="00DE2452"/>
    <w:rsid w:val="00DE6C0B"/>
    <w:rsid w:val="00DE7F6D"/>
    <w:rsid w:val="00DF0292"/>
    <w:rsid w:val="00DF0E3B"/>
    <w:rsid w:val="00DF4A7D"/>
    <w:rsid w:val="00DF5AEB"/>
    <w:rsid w:val="00DF5F7A"/>
    <w:rsid w:val="00E00247"/>
    <w:rsid w:val="00E014AE"/>
    <w:rsid w:val="00E020AD"/>
    <w:rsid w:val="00E02605"/>
    <w:rsid w:val="00E04811"/>
    <w:rsid w:val="00E04E13"/>
    <w:rsid w:val="00E053E2"/>
    <w:rsid w:val="00E06059"/>
    <w:rsid w:val="00E118A8"/>
    <w:rsid w:val="00E12088"/>
    <w:rsid w:val="00E13436"/>
    <w:rsid w:val="00E16F4B"/>
    <w:rsid w:val="00E27221"/>
    <w:rsid w:val="00E30DE5"/>
    <w:rsid w:val="00E312CC"/>
    <w:rsid w:val="00E32E69"/>
    <w:rsid w:val="00E33D45"/>
    <w:rsid w:val="00E34577"/>
    <w:rsid w:val="00E356D8"/>
    <w:rsid w:val="00E364FB"/>
    <w:rsid w:val="00E409A8"/>
    <w:rsid w:val="00E41456"/>
    <w:rsid w:val="00E41AAD"/>
    <w:rsid w:val="00E41B51"/>
    <w:rsid w:val="00E41C70"/>
    <w:rsid w:val="00E433CA"/>
    <w:rsid w:val="00E44595"/>
    <w:rsid w:val="00E4590A"/>
    <w:rsid w:val="00E459FD"/>
    <w:rsid w:val="00E46987"/>
    <w:rsid w:val="00E505D6"/>
    <w:rsid w:val="00E5196F"/>
    <w:rsid w:val="00E51CF3"/>
    <w:rsid w:val="00E5262E"/>
    <w:rsid w:val="00E52CA6"/>
    <w:rsid w:val="00E55257"/>
    <w:rsid w:val="00E56D3E"/>
    <w:rsid w:val="00E57024"/>
    <w:rsid w:val="00E60D04"/>
    <w:rsid w:val="00E61C58"/>
    <w:rsid w:val="00E622AD"/>
    <w:rsid w:val="00E642A6"/>
    <w:rsid w:val="00E6436C"/>
    <w:rsid w:val="00E64E2A"/>
    <w:rsid w:val="00E65416"/>
    <w:rsid w:val="00E66017"/>
    <w:rsid w:val="00E66D04"/>
    <w:rsid w:val="00E7214F"/>
    <w:rsid w:val="00E72BD7"/>
    <w:rsid w:val="00E72E1C"/>
    <w:rsid w:val="00E737D2"/>
    <w:rsid w:val="00E738A4"/>
    <w:rsid w:val="00E73A88"/>
    <w:rsid w:val="00E7462B"/>
    <w:rsid w:val="00E76716"/>
    <w:rsid w:val="00E768F4"/>
    <w:rsid w:val="00E807D1"/>
    <w:rsid w:val="00E80EB2"/>
    <w:rsid w:val="00E8286D"/>
    <w:rsid w:val="00E8314A"/>
    <w:rsid w:val="00E84181"/>
    <w:rsid w:val="00E84377"/>
    <w:rsid w:val="00E849D8"/>
    <w:rsid w:val="00E84E9F"/>
    <w:rsid w:val="00E84FEC"/>
    <w:rsid w:val="00E85223"/>
    <w:rsid w:val="00E85432"/>
    <w:rsid w:val="00E8653F"/>
    <w:rsid w:val="00E87DCE"/>
    <w:rsid w:val="00E90872"/>
    <w:rsid w:val="00E92760"/>
    <w:rsid w:val="00E94DA7"/>
    <w:rsid w:val="00E951C0"/>
    <w:rsid w:val="00E953A5"/>
    <w:rsid w:val="00E95E55"/>
    <w:rsid w:val="00E96230"/>
    <w:rsid w:val="00EA010B"/>
    <w:rsid w:val="00EA0256"/>
    <w:rsid w:val="00EA0A7B"/>
    <w:rsid w:val="00EA1ABB"/>
    <w:rsid w:val="00EA4050"/>
    <w:rsid w:val="00EA55DF"/>
    <w:rsid w:val="00EB1004"/>
    <w:rsid w:val="00EB23C0"/>
    <w:rsid w:val="00EB2A6E"/>
    <w:rsid w:val="00EB2D9D"/>
    <w:rsid w:val="00EB5265"/>
    <w:rsid w:val="00EB570A"/>
    <w:rsid w:val="00EB5E2D"/>
    <w:rsid w:val="00EC0492"/>
    <w:rsid w:val="00EC123E"/>
    <w:rsid w:val="00EC2A71"/>
    <w:rsid w:val="00EC2D2D"/>
    <w:rsid w:val="00EC5CC6"/>
    <w:rsid w:val="00EC5F91"/>
    <w:rsid w:val="00ED020D"/>
    <w:rsid w:val="00ED146C"/>
    <w:rsid w:val="00ED23CF"/>
    <w:rsid w:val="00ED4CCE"/>
    <w:rsid w:val="00ED4F4F"/>
    <w:rsid w:val="00ED54E4"/>
    <w:rsid w:val="00ED61C4"/>
    <w:rsid w:val="00ED7804"/>
    <w:rsid w:val="00EE114C"/>
    <w:rsid w:val="00EE1732"/>
    <w:rsid w:val="00EE2B6A"/>
    <w:rsid w:val="00EE2CAB"/>
    <w:rsid w:val="00EE406E"/>
    <w:rsid w:val="00EF149F"/>
    <w:rsid w:val="00EF2153"/>
    <w:rsid w:val="00EF30B9"/>
    <w:rsid w:val="00EF361C"/>
    <w:rsid w:val="00EF37F1"/>
    <w:rsid w:val="00EF4CA2"/>
    <w:rsid w:val="00EF5528"/>
    <w:rsid w:val="00EF5D4A"/>
    <w:rsid w:val="00EF789C"/>
    <w:rsid w:val="00F00936"/>
    <w:rsid w:val="00F014E9"/>
    <w:rsid w:val="00F01A61"/>
    <w:rsid w:val="00F02576"/>
    <w:rsid w:val="00F03088"/>
    <w:rsid w:val="00F03490"/>
    <w:rsid w:val="00F0466F"/>
    <w:rsid w:val="00F05517"/>
    <w:rsid w:val="00F05F1D"/>
    <w:rsid w:val="00F0608C"/>
    <w:rsid w:val="00F079E8"/>
    <w:rsid w:val="00F104BF"/>
    <w:rsid w:val="00F121DA"/>
    <w:rsid w:val="00F203F7"/>
    <w:rsid w:val="00F215BA"/>
    <w:rsid w:val="00F2209D"/>
    <w:rsid w:val="00F22961"/>
    <w:rsid w:val="00F23F72"/>
    <w:rsid w:val="00F26028"/>
    <w:rsid w:val="00F26171"/>
    <w:rsid w:val="00F306F8"/>
    <w:rsid w:val="00F30E07"/>
    <w:rsid w:val="00F31317"/>
    <w:rsid w:val="00F327E4"/>
    <w:rsid w:val="00F33E44"/>
    <w:rsid w:val="00F3462C"/>
    <w:rsid w:val="00F35485"/>
    <w:rsid w:val="00F35FB2"/>
    <w:rsid w:val="00F37872"/>
    <w:rsid w:val="00F4035B"/>
    <w:rsid w:val="00F40927"/>
    <w:rsid w:val="00F422D7"/>
    <w:rsid w:val="00F42E36"/>
    <w:rsid w:val="00F4349E"/>
    <w:rsid w:val="00F45057"/>
    <w:rsid w:val="00F50643"/>
    <w:rsid w:val="00F50C41"/>
    <w:rsid w:val="00F52455"/>
    <w:rsid w:val="00F53C04"/>
    <w:rsid w:val="00F54584"/>
    <w:rsid w:val="00F548AF"/>
    <w:rsid w:val="00F54E69"/>
    <w:rsid w:val="00F60CB0"/>
    <w:rsid w:val="00F66280"/>
    <w:rsid w:val="00F6749B"/>
    <w:rsid w:val="00F73332"/>
    <w:rsid w:val="00F76895"/>
    <w:rsid w:val="00F770A8"/>
    <w:rsid w:val="00F81878"/>
    <w:rsid w:val="00F830A3"/>
    <w:rsid w:val="00F83360"/>
    <w:rsid w:val="00F84BE3"/>
    <w:rsid w:val="00F84D72"/>
    <w:rsid w:val="00F85F48"/>
    <w:rsid w:val="00F87937"/>
    <w:rsid w:val="00F87E8C"/>
    <w:rsid w:val="00F90C4F"/>
    <w:rsid w:val="00F90CDD"/>
    <w:rsid w:val="00F92E15"/>
    <w:rsid w:val="00F931F7"/>
    <w:rsid w:val="00F93573"/>
    <w:rsid w:val="00F949BF"/>
    <w:rsid w:val="00F95C35"/>
    <w:rsid w:val="00F96D37"/>
    <w:rsid w:val="00F976FE"/>
    <w:rsid w:val="00F97BA7"/>
    <w:rsid w:val="00F97D4B"/>
    <w:rsid w:val="00FA0BA5"/>
    <w:rsid w:val="00FA1C49"/>
    <w:rsid w:val="00FA3D83"/>
    <w:rsid w:val="00FA5E30"/>
    <w:rsid w:val="00FA74ED"/>
    <w:rsid w:val="00FB0344"/>
    <w:rsid w:val="00FB068B"/>
    <w:rsid w:val="00FB11B9"/>
    <w:rsid w:val="00FB212E"/>
    <w:rsid w:val="00FB5824"/>
    <w:rsid w:val="00FC065B"/>
    <w:rsid w:val="00FC066A"/>
    <w:rsid w:val="00FC27E2"/>
    <w:rsid w:val="00FC51E7"/>
    <w:rsid w:val="00FD1009"/>
    <w:rsid w:val="00FD2A95"/>
    <w:rsid w:val="00FD347A"/>
    <w:rsid w:val="00FD3EB6"/>
    <w:rsid w:val="00FD4AF7"/>
    <w:rsid w:val="00FD5622"/>
    <w:rsid w:val="00FD58AA"/>
    <w:rsid w:val="00FD6B18"/>
    <w:rsid w:val="00FE55D2"/>
    <w:rsid w:val="00FE5C3E"/>
    <w:rsid w:val="00FF0632"/>
    <w:rsid w:val="00FF5DB5"/>
    <w:rsid w:val="00FF7355"/>
    <w:rsid w:val="014B78BD"/>
    <w:rsid w:val="018904F5"/>
    <w:rsid w:val="02964B39"/>
    <w:rsid w:val="09D122E9"/>
    <w:rsid w:val="0A56191F"/>
    <w:rsid w:val="0A72380C"/>
    <w:rsid w:val="0BC051FE"/>
    <w:rsid w:val="0C441268"/>
    <w:rsid w:val="0ED8273D"/>
    <w:rsid w:val="0F9834F2"/>
    <w:rsid w:val="0FCA3416"/>
    <w:rsid w:val="0FDB5C1D"/>
    <w:rsid w:val="15095E33"/>
    <w:rsid w:val="18C4478C"/>
    <w:rsid w:val="1CBF4223"/>
    <w:rsid w:val="1CFF586A"/>
    <w:rsid w:val="1D5C75B1"/>
    <w:rsid w:val="225D0766"/>
    <w:rsid w:val="23077C78"/>
    <w:rsid w:val="2964687E"/>
    <w:rsid w:val="29D137E8"/>
    <w:rsid w:val="2F3E547B"/>
    <w:rsid w:val="305D1A83"/>
    <w:rsid w:val="312F0DAA"/>
    <w:rsid w:val="31E42732"/>
    <w:rsid w:val="33385F4C"/>
    <w:rsid w:val="33BB3FC3"/>
    <w:rsid w:val="35773495"/>
    <w:rsid w:val="36703F22"/>
    <w:rsid w:val="369E59B3"/>
    <w:rsid w:val="36A52284"/>
    <w:rsid w:val="38A04B86"/>
    <w:rsid w:val="39156E3A"/>
    <w:rsid w:val="39E42706"/>
    <w:rsid w:val="3AA23326"/>
    <w:rsid w:val="3E6F38A3"/>
    <w:rsid w:val="4207450E"/>
    <w:rsid w:val="428D2E48"/>
    <w:rsid w:val="439E6795"/>
    <w:rsid w:val="44DA1C44"/>
    <w:rsid w:val="455C6204"/>
    <w:rsid w:val="45996DFC"/>
    <w:rsid w:val="46231875"/>
    <w:rsid w:val="46435A1A"/>
    <w:rsid w:val="47747198"/>
    <w:rsid w:val="4A732E61"/>
    <w:rsid w:val="4B7C7600"/>
    <w:rsid w:val="4FAB2261"/>
    <w:rsid w:val="54E01B8D"/>
    <w:rsid w:val="57476D14"/>
    <w:rsid w:val="5749474A"/>
    <w:rsid w:val="57F47FBB"/>
    <w:rsid w:val="5DA721D2"/>
    <w:rsid w:val="5ED87A9F"/>
    <w:rsid w:val="60667539"/>
    <w:rsid w:val="617D3332"/>
    <w:rsid w:val="63D3012D"/>
    <w:rsid w:val="64BB62AC"/>
    <w:rsid w:val="66054B73"/>
    <w:rsid w:val="66546D57"/>
    <w:rsid w:val="672E2516"/>
    <w:rsid w:val="67735F63"/>
    <w:rsid w:val="6AF45F3C"/>
    <w:rsid w:val="6BBF5B83"/>
    <w:rsid w:val="6CB50863"/>
    <w:rsid w:val="6DFB3D41"/>
    <w:rsid w:val="6F69526C"/>
    <w:rsid w:val="70E4517B"/>
    <w:rsid w:val="746626FF"/>
    <w:rsid w:val="7882291C"/>
    <w:rsid w:val="788743A8"/>
    <w:rsid w:val="7A2B7977"/>
    <w:rsid w:val="7E2F19D0"/>
    <w:rsid w:val="7F687251"/>
    <w:rsid w:val="7FC3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Theme="minorEastAsia" w:cstheme="minorBidi"/>
      <w:kern w:val="2"/>
      <w:sz w:val="24"/>
      <w:szCs w:val="22"/>
      <w:lang w:val="en-US" w:eastAsia="zh-CN" w:bidi="ar-SA"/>
    </w:rPr>
  </w:style>
  <w:style w:type="paragraph" w:styleId="3">
    <w:name w:val="heading 1"/>
    <w:basedOn w:val="1"/>
    <w:next w:val="1"/>
    <w:link w:val="38"/>
    <w:qFormat/>
    <w:uiPriority w:val="0"/>
    <w:pPr>
      <w:keepNext/>
      <w:overflowPunct w:val="0"/>
      <w:snapToGrid w:val="0"/>
      <w:spacing w:before="120" w:after="160" w:line="259" w:lineRule="auto"/>
      <w:ind w:left="432" w:hanging="432"/>
      <w:jc w:val="both"/>
      <w:outlineLvl w:val="0"/>
    </w:pPr>
    <w:rPr>
      <w:rFonts w:eastAsia="黑体" w:cs="Times New Roman"/>
      <w:b/>
      <w:bCs/>
      <w:color w:val="000000"/>
      <w:kern w:val="44"/>
      <w:sz w:val="30"/>
      <w:szCs w:val="30"/>
    </w:rPr>
  </w:style>
  <w:style w:type="paragraph" w:styleId="2">
    <w:name w:val="heading 2"/>
    <w:basedOn w:val="1"/>
    <w:next w:val="1"/>
    <w:link w:val="29"/>
    <w:unhideWhenUsed/>
    <w:uiPriority w:val="0"/>
    <w:pPr>
      <w:keepNext/>
      <w:keepLines/>
      <w:outlineLvl w:val="1"/>
    </w:pPr>
    <w:rPr>
      <w:rFonts w:asciiTheme="majorHAnsi" w:hAnsiTheme="majorHAnsi" w:eastAsiaTheme="majorEastAsia" w:cstheme="majorBidi"/>
      <w:b/>
      <w:bCs/>
      <w:szCs w:val="32"/>
    </w:rPr>
  </w:style>
  <w:style w:type="paragraph" w:styleId="4">
    <w:name w:val="heading 3"/>
    <w:basedOn w:val="1"/>
    <w:next w:val="1"/>
    <w:link w:val="30"/>
    <w:unhideWhenUsed/>
    <w:qFormat/>
    <w:uiPriority w:val="9"/>
    <w:pPr>
      <w:keepNext/>
      <w:keepLines/>
      <w:ind w:firstLine="200" w:firstLineChars="200"/>
      <w:outlineLvl w:val="2"/>
    </w:pPr>
    <w:rPr>
      <w:b/>
      <w:bCs/>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3"/>
    <w:qFormat/>
    <w:uiPriority w:val="0"/>
    <w:pPr>
      <w:ind w:firstLine="420" w:firstLineChars="200"/>
      <w:jc w:val="both"/>
    </w:pPr>
    <w:rPr>
      <w:rFonts w:ascii="仿宋_GB2312" w:hAnsi="Arial Black" w:eastAsia="仿宋_GB2312" w:cs="Times New Roman"/>
      <w:sz w:val="28"/>
      <w:szCs w:val="24"/>
    </w:rPr>
  </w:style>
  <w:style w:type="paragraph" w:styleId="6">
    <w:name w:val="caption"/>
    <w:basedOn w:val="1"/>
    <w:next w:val="1"/>
    <w:qFormat/>
    <w:uiPriority w:val="99"/>
    <w:pPr>
      <w:spacing w:line="240" w:lineRule="auto"/>
      <w:jc w:val="center"/>
    </w:pPr>
    <w:rPr>
      <w:rFonts w:ascii="Arial" w:hAnsi="Arial" w:eastAsia="宋体" w:cs="Arial"/>
      <w:b/>
      <w:bCs/>
      <w:szCs w:val="24"/>
    </w:rPr>
  </w:style>
  <w:style w:type="paragraph" w:styleId="7">
    <w:name w:val="annotation text"/>
    <w:basedOn w:val="1"/>
    <w:link w:val="39"/>
    <w:semiHidden/>
    <w:qFormat/>
    <w:uiPriority w:val="0"/>
    <w:pPr>
      <w:spacing w:line="240" w:lineRule="auto"/>
    </w:pPr>
    <w:rPr>
      <w:rFonts w:eastAsia="宋体" w:cs="Times New Roman"/>
      <w:kern w:val="0"/>
      <w:sz w:val="20"/>
      <w:szCs w:val="24"/>
    </w:rPr>
  </w:style>
  <w:style w:type="paragraph" w:styleId="8">
    <w:name w:val="Body Text"/>
    <w:basedOn w:val="1"/>
    <w:link w:val="40"/>
    <w:qFormat/>
    <w:uiPriority w:val="1"/>
    <w:pPr>
      <w:widowControl/>
      <w:snapToGrid w:val="0"/>
      <w:spacing w:before="60" w:after="160" w:line="259" w:lineRule="auto"/>
      <w:ind w:right="113"/>
      <w:jc w:val="both"/>
    </w:pPr>
    <w:rPr>
      <w:rFonts w:eastAsia="宋体" w:cs="Times New Roman"/>
      <w:kern w:val="0"/>
      <w:sz w:val="18"/>
      <w:szCs w:val="18"/>
    </w:rPr>
  </w:style>
  <w:style w:type="paragraph" w:styleId="9">
    <w:name w:val="Body Text Indent"/>
    <w:basedOn w:val="1"/>
    <w:link w:val="35"/>
    <w:unhideWhenUsed/>
    <w:qFormat/>
    <w:uiPriority w:val="0"/>
    <w:pPr>
      <w:spacing w:after="120"/>
      <w:ind w:left="420" w:leftChars="200"/>
    </w:pPr>
  </w:style>
  <w:style w:type="paragraph" w:styleId="10">
    <w:name w:val="Plain Text"/>
    <w:basedOn w:val="1"/>
    <w:link w:val="41"/>
    <w:qFormat/>
    <w:uiPriority w:val="0"/>
    <w:pPr>
      <w:spacing w:line="240" w:lineRule="auto"/>
      <w:jc w:val="both"/>
    </w:pPr>
    <w:rPr>
      <w:rFonts w:ascii="宋体" w:hAnsi="Courier New" w:eastAsia="宋体" w:cs="宋体"/>
      <w:sz w:val="20"/>
      <w:szCs w:val="20"/>
    </w:rPr>
  </w:style>
  <w:style w:type="paragraph" w:styleId="11">
    <w:name w:val="Date"/>
    <w:basedOn w:val="1"/>
    <w:next w:val="1"/>
    <w:link w:val="43"/>
    <w:qFormat/>
    <w:uiPriority w:val="0"/>
    <w:pPr>
      <w:spacing w:line="240" w:lineRule="auto"/>
      <w:ind w:left="100" w:leftChars="2500"/>
      <w:jc w:val="both"/>
    </w:pPr>
    <w:rPr>
      <w:rFonts w:eastAsia="宋体" w:cs="Times New Roman"/>
      <w:kern w:val="0"/>
      <w:sz w:val="20"/>
      <w:szCs w:val="24"/>
    </w:rPr>
  </w:style>
  <w:style w:type="paragraph" w:styleId="12">
    <w:name w:val="Balloon Text"/>
    <w:basedOn w:val="1"/>
    <w:link w:val="44"/>
    <w:semiHidden/>
    <w:qFormat/>
    <w:uiPriority w:val="99"/>
    <w:pPr>
      <w:spacing w:line="240" w:lineRule="auto"/>
      <w:jc w:val="both"/>
    </w:pPr>
    <w:rPr>
      <w:rFonts w:eastAsia="宋体" w:cs="Times New Roman"/>
      <w:sz w:val="18"/>
      <w:szCs w:val="18"/>
    </w:rPr>
  </w:style>
  <w:style w:type="paragraph" w:styleId="13">
    <w:name w:val="footer"/>
    <w:basedOn w:val="1"/>
    <w:link w:val="32"/>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4"/>
    <w:qFormat/>
    <w:uiPriority w:val="11"/>
    <w:pPr>
      <w:jc w:val="center"/>
      <w:outlineLvl w:val="1"/>
    </w:pPr>
    <w:rPr>
      <w:rFonts w:eastAsia="黑体" w:asciiTheme="minorHAnsi" w:hAnsiTheme="minorHAnsi"/>
      <w:b/>
      <w:bCs/>
      <w:kern w:val="28"/>
      <w:sz w:val="32"/>
      <w:szCs w:val="32"/>
    </w:rPr>
  </w:style>
  <w:style w:type="paragraph" w:styleId="16">
    <w:name w:val="Normal (Web)"/>
    <w:basedOn w:val="1"/>
    <w:link w:val="33"/>
    <w:qFormat/>
    <w:uiPriority w:val="99"/>
    <w:pPr>
      <w:widowControl/>
      <w:spacing w:before="100" w:beforeAutospacing="1" w:after="100" w:afterAutospacing="1" w:line="240" w:lineRule="auto"/>
    </w:pPr>
    <w:rPr>
      <w:rFonts w:ascii="宋体" w:hAnsi="宋体" w:eastAsia="宋体" w:cs="Times New Roman"/>
      <w:kern w:val="0"/>
      <w:szCs w:val="24"/>
    </w:rPr>
  </w:style>
  <w:style w:type="paragraph" w:styleId="17">
    <w:name w:val="Title"/>
    <w:basedOn w:val="1"/>
    <w:next w:val="1"/>
    <w:link w:val="62"/>
    <w:qFormat/>
    <w:uiPriority w:val="0"/>
    <w:pPr>
      <w:spacing w:before="240" w:after="60" w:line="240" w:lineRule="auto"/>
      <w:jc w:val="center"/>
      <w:outlineLvl w:val="0"/>
    </w:pPr>
    <w:rPr>
      <w:rFonts w:ascii="等线 Light" w:hAnsi="等线 Light" w:eastAsia="宋体" w:cs="Times New Roman"/>
      <w:b/>
      <w:bCs/>
      <w:sz w:val="32"/>
      <w:szCs w:val="32"/>
    </w:rPr>
  </w:style>
  <w:style w:type="paragraph" w:styleId="18">
    <w:name w:val="annotation subject"/>
    <w:basedOn w:val="7"/>
    <w:next w:val="7"/>
    <w:link w:val="45"/>
    <w:semiHidden/>
    <w:qFormat/>
    <w:uiPriority w:val="0"/>
    <w:rPr>
      <w:b/>
      <w:bCs/>
    </w:rPr>
  </w:style>
  <w:style w:type="paragraph" w:styleId="19">
    <w:name w:val="Body Text First Indent 2"/>
    <w:basedOn w:val="1"/>
    <w:next w:val="1"/>
    <w:link w:val="36"/>
    <w:qFormat/>
    <w:uiPriority w:val="0"/>
    <w:pPr>
      <w:spacing w:line="240" w:lineRule="auto"/>
      <w:ind w:firstLine="420" w:firstLineChars="200"/>
      <w:jc w:val="both"/>
    </w:pPr>
    <w:rPr>
      <w:rFonts w:eastAsia="宋体" w:cs="Times New Roman"/>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qFormat/>
    <w:uiPriority w:val="0"/>
  </w:style>
  <w:style w:type="character" w:styleId="25">
    <w:name w:val="Hyperlink"/>
    <w:qFormat/>
    <w:uiPriority w:val="0"/>
    <w:rPr>
      <w:color w:val="0563C1"/>
      <w:u w:val="single"/>
    </w:rPr>
  </w:style>
  <w:style w:type="character" w:styleId="26">
    <w:name w:val="annotation reference"/>
    <w:semiHidden/>
    <w:qFormat/>
    <w:uiPriority w:val="0"/>
    <w:rPr>
      <w:sz w:val="21"/>
    </w:rPr>
  </w:style>
  <w:style w:type="paragraph" w:styleId="27">
    <w:name w:val="No Spacing"/>
    <w:link w:val="37"/>
    <w:qFormat/>
    <w:uiPriority w:val="1"/>
    <w:rPr>
      <w:rFonts w:ascii="Times New Roman" w:hAnsi="Times New Roman" w:eastAsiaTheme="minorEastAsia" w:cstheme="minorBidi"/>
      <w:kern w:val="2"/>
      <w:sz w:val="21"/>
      <w:szCs w:val="22"/>
      <w:lang w:val="en-US" w:eastAsia="zh-CN" w:bidi="ar-SA"/>
    </w:rPr>
  </w:style>
  <w:style w:type="paragraph" w:customStyle="1" w:styleId="28">
    <w:name w:val="表头-图名"/>
    <w:qFormat/>
    <w:uiPriority w:val="1"/>
    <w:pPr>
      <w:autoSpaceDE w:val="0"/>
      <w:autoSpaceDN w:val="0"/>
      <w:jc w:val="center"/>
    </w:pPr>
    <w:rPr>
      <w:rFonts w:ascii="Times New Roman" w:hAnsi="Times New Roman" w:eastAsia="宋体" w:cs="宋体"/>
      <w:b/>
      <w:sz w:val="21"/>
      <w:szCs w:val="22"/>
      <w:lang w:val="zh-CN" w:eastAsia="zh-CN" w:bidi="zh-CN"/>
    </w:rPr>
  </w:style>
  <w:style w:type="character" w:customStyle="1" w:styleId="29">
    <w:name w:val="标题 2 字符"/>
    <w:basedOn w:val="22"/>
    <w:link w:val="2"/>
    <w:qFormat/>
    <w:uiPriority w:val="9"/>
    <w:rPr>
      <w:rFonts w:asciiTheme="majorHAnsi" w:hAnsiTheme="majorHAnsi" w:eastAsiaTheme="majorEastAsia" w:cstheme="majorBidi"/>
      <w:b/>
      <w:bCs/>
      <w:sz w:val="24"/>
      <w:szCs w:val="32"/>
    </w:rPr>
  </w:style>
  <w:style w:type="character" w:customStyle="1" w:styleId="30">
    <w:name w:val="标题 3 字符"/>
    <w:basedOn w:val="22"/>
    <w:link w:val="4"/>
    <w:qFormat/>
    <w:uiPriority w:val="9"/>
    <w:rPr>
      <w:rFonts w:ascii="Times New Roman" w:hAnsi="Times New Roman"/>
      <w:b/>
      <w:bCs/>
      <w:sz w:val="24"/>
      <w:szCs w:val="32"/>
    </w:rPr>
  </w:style>
  <w:style w:type="character" w:customStyle="1" w:styleId="31">
    <w:name w:val="页眉 字符"/>
    <w:basedOn w:val="22"/>
    <w:link w:val="14"/>
    <w:qFormat/>
    <w:uiPriority w:val="99"/>
    <w:rPr>
      <w:rFonts w:ascii="Times New Roman" w:hAnsi="Times New Roman"/>
      <w:sz w:val="18"/>
      <w:szCs w:val="18"/>
    </w:rPr>
  </w:style>
  <w:style w:type="character" w:customStyle="1" w:styleId="32">
    <w:name w:val="页脚 字符"/>
    <w:basedOn w:val="22"/>
    <w:link w:val="13"/>
    <w:qFormat/>
    <w:uiPriority w:val="99"/>
    <w:rPr>
      <w:rFonts w:ascii="Times New Roman" w:hAnsi="Times New Roman"/>
      <w:sz w:val="18"/>
      <w:szCs w:val="18"/>
    </w:rPr>
  </w:style>
  <w:style w:type="character" w:customStyle="1" w:styleId="33">
    <w:name w:val="普通(网站) 字符"/>
    <w:link w:val="16"/>
    <w:qFormat/>
    <w:locked/>
    <w:uiPriority w:val="0"/>
    <w:rPr>
      <w:rFonts w:ascii="宋体" w:hAnsi="宋体" w:eastAsia="宋体" w:cs="Times New Roman"/>
      <w:kern w:val="0"/>
      <w:sz w:val="24"/>
      <w:szCs w:val="24"/>
    </w:rPr>
  </w:style>
  <w:style w:type="character" w:customStyle="1" w:styleId="34">
    <w:name w:val="副标题 字符"/>
    <w:basedOn w:val="22"/>
    <w:link w:val="15"/>
    <w:qFormat/>
    <w:uiPriority w:val="11"/>
    <w:rPr>
      <w:rFonts w:eastAsia="黑体"/>
      <w:b/>
      <w:bCs/>
      <w:kern w:val="28"/>
      <w:sz w:val="32"/>
      <w:szCs w:val="32"/>
    </w:rPr>
  </w:style>
  <w:style w:type="character" w:customStyle="1" w:styleId="35">
    <w:name w:val="正文文本缩进 字符"/>
    <w:basedOn w:val="22"/>
    <w:link w:val="9"/>
    <w:semiHidden/>
    <w:qFormat/>
    <w:uiPriority w:val="0"/>
    <w:rPr>
      <w:rFonts w:ascii="Times New Roman" w:hAnsi="Times New Roman"/>
      <w:sz w:val="24"/>
    </w:rPr>
  </w:style>
  <w:style w:type="character" w:customStyle="1" w:styleId="36">
    <w:name w:val="正文文本首行缩进 2 字符"/>
    <w:basedOn w:val="35"/>
    <w:link w:val="19"/>
    <w:qFormat/>
    <w:uiPriority w:val="0"/>
    <w:rPr>
      <w:rFonts w:ascii="Times New Roman" w:hAnsi="Times New Roman" w:eastAsia="宋体" w:cs="Times New Roman"/>
      <w:sz w:val="24"/>
      <w:szCs w:val="24"/>
    </w:rPr>
  </w:style>
  <w:style w:type="character" w:customStyle="1" w:styleId="37">
    <w:name w:val="无间隔 字符"/>
    <w:link w:val="27"/>
    <w:qFormat/>
    <w:uiPriority w:val="1"/>
    <w:rPr>
      <w:rFonts w:ascii="Times New Roman" w:hAnsi="Times New Roman"/>
    </w:rPr>
  </w:style>
  <w:style w:type="character" w:customStyle="1" w:styleId="38">
    <w:name w:val="标题 1 字符"/>
    <w:basedOn w:val="22"/>
    <w:link w:val="3"/>
    <w:qFormat/>
    <w:uiPriority w:val="0"/>
    <w:rPr>
      <w:rFonts w:ascii="Times New Roman" w:hAnsi="Times New Roman" w:eastAsia="黑体" w:cs="Times New Roman"/>
      <w:b/>
      <w:bCs/>
      <w:color w:val="000000"/>
      <w:kern w:val="44"/>
      <w:sz w:val="30"/>
      <w:szCs w:val="30"/>
    </w:rPr>
  </w:style>
  <w:style w:type="character" w:customStyle="1" w:styleId="39">
    <w:name w:val="批注文字 字符"/>
    <w:basedOn w:val="22"/>
    <w:link w:val="7"/>
    <w:qFormat/>
    <w:uiPriority w:val="0"/>
    <w:rPr>
      <w:rFonts w:ascii="Times New Roman" w:hAnsi="Times New Roman" w:eastAsia="宋体" w:cs="Times New Roman"/>
      <w:kern w:val="0"/>
      <w:sz w:val="20"/>
      <w:szCs w:val="24"/>
    </w:rPr>
  </w:style>
  <w:style w:type="character" w:customStyle="1" w:styleId="40">
    <w:name w:val="正文文本 字符"/>
    <w:basedOn w:val="22"/>
    <w:link w:val="8"/>
    <w:qFormat/>
    <w:uiPriority w:val="1"/>
    <w:rPr>
      <w:rFonts w:ascii="Times New Roman" w:hAnsi="Times New Roman" w:eastAsia="宋体" w:cs="Times New Roman"/>
      <w:kern w:val="0"/>
      <w:sz w:val="18"/>
      <w:szCs w:val="18"/>
    </w:rPr>
  </w:style>
  <w:style w:type="character" w:customStyle="1" w:styleId="41">
    <w:name w:val="纯文本 字符"/>
    <w:basedOn w:val="22"/>
    <w:link w:val="10"/>
    <w:qFormat/>
    <w:uiPriority w:val="0"/>
    <w:rPr>
      <w:rFonts w:ascii="宋体" w:hAnsi="Courier New" w:eastAsia="宋体" w:cs="宋体"/>
      <w:sz w:val="20"/>
      <w:szCs w:val="20"/>
    </w:rPr>
  </w:style>
  <w:style w:type="character" w:customStyle="1" w:styleId="42">
    <w:name w:val="日期 字符"/>
    <w:basedOn w:val="22"/>
    <w:semiHidden/>
    <w:qFormat/>
    <w:uiPriority w:val="0"/>
    <w:rPr>
      <w:rFonts w:ascii="Times New Roman" w:hAnsi="Times New Roman"/>
    </w:rPr>
  </w:style>
  <w:style w:type="character" w:customStyle="1" w:styleId="43">
    <w:name w:val="日期 字符1"/>
    <w:link w:val="11"/>
    <w:qFormat/>
    <w:locked/>
    <w:uiPriority w:val="0"/>
    <w:rPr>
      <w:rFonts w:ascii="Times New Roman" w:hAnsi="Times New Roman" w:eastAsia="宋体" w:cs="Times New Roman"/>
      <w:kern w:val="0"/>
      <w:sz w:val="20"/>
      <w:szCs w:val="24"/>
    </w:rPr>
  </w:style>
  <w:style w:type="character" w:customStyle="1" w:styleId="44">
    <w:name w:val="批注框文本 字符"/>
    <w:basedOn w:val="22"/>
    <w:link w:val="12"/>
    <w:semiHidden/>
    <w:qFormat/>
    <w:uiPriority w:val="99"/>
    <w:rPr>
      <w:rFonts w:ascii="Times New Roman" w:hAnsi="Times New Roman" w:eastAsia="宋体" w:cs="Times New Roman"/>
      <w:sz w:val="18"/>
      <w:szCs w:val="18"/>
    </w:rPr>
  </w:style>
  <w:style w:type="character" w:customStyle="1" w:styleId="45">
    <w:name w:val="批注主题 字符"/>
    <w:basedOn w:val="39"/>
    <w:link w:val="18"/>
    <w:semiHidden/>
    <w:qFormat/>
    <w:uiPriority w:val="0"/>
    <w:rPr>
      <w:rFonts w:ascii="Times New Roman" w:hAnsi="Times New Roman" w:eastAsia="宋体" w:cs="Times New Roman"/>
      <w:b/>
      <w:bCs/>
      <w:kern w:val="0"/>
      <w:sz w:val="20"/>
      <w:szCs w:val="24"/>
    </w:rPr>
  </w:style>
  <w:style w:type="character" w:customStyle="1" w:styleId="46">
    <w:name w:val="批注文字 字符1"/>
    <w:semiHidden/>
    <w:qFormat/>
    <w:uiPriority w:val="0"/>
    <w:rPr>
      <w:rFonts w:ascii="Times New Roman" w:hAnsi="Times New Roman" w:eastAsia="宋体" w:cs="Times New Roman"/>
      <w:sz w:val="24"/>
      <w:szCs w:val="24"/>
    </w:rPr>
  </w:style>
  <w:style w:type="character" w:customStyle="1" w:styleId="47">
    <w:name w:val="表格 Char"/>
    <w:link w:val="48"/>
    <w:qFormat/>
    <w:locked/>
    <w:uiPriority w:val="0"/>
    <w:rPr>
      <w:rFonts w:ascii="宋体"/>
    </w:rPr>
  </w:style>
  <w:style w:type="paragraph" w:customStyle="1" w:styleId="48">
    <w:name w:val="表格"/>
    <w:basedOn w:val="1"/>
    <w:next w:val="1"/>
    <w:link w:val="47"/>
    <w:qFormat/>
    <w:uiPriority w:val="0"/>
    <w:pPr>
      <w:adjustRightInd w:val="0"/>
      <w:snapToGrid w:val="0"/>
      <w:spacing w:beforeLines="10" w:afterLines="10" w:line="259" w:lineRule="auto"/>
      <w:jc w:val="center"/>
    </w:pPr>
    <w:rPr>
      <w:rFonts w:ascii="宋体" w:hAnsiTheme="minorHAnsi"/>
    </w:rPr>
  </w:style>
  <w:style w:type="character" w:customStyle="1" w:styleId="49">
    <w:name w:val="正文文本 字符1"/>
    <w:semiHidden/>
    <w:qFormat/>
    <w:uiPriority w:val="0"/>
    <w:rPr>
      <w:rFonts w:ascii="Times New Roman" w:hAnsi="Times New Roman" w:eastAsia="宋体" w:cs="Times New Roman"/>
      <w:sz w:val="24"/>
      <w:szCs w:val="24"/>
    </w:rPr>
  </w:style>
  <w:style w:type="character" w:customStyle="1" w:styleId="50">
    <w:name w:val="普通(网站) Char"/>
    <w:qFormat/>
    <w:locked/>
    <w:uiPriority w:val="0"/>
    <w:rPr>
      <w:rFonts w:ascii="宋体" w:hAnsi="宋体" w:eastAsia="宋体"/>
      <w:sz w:val="24"/>
    </w:rPr>
  </w:style>
  <w:style w:type="paragraph" w:customStyle="1" w:styleId="5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标准段落"/>
    <w:basedOn w:val="1"/>
    <w:next w:val="1"/>
    <w:qFormat/>
    <w:uiPriority w:val="0"/>
    <w:pPr>
      <w:spacing w:line="240" w:lineRule="auto"/>
      <w:ind w:firstLine="504" w:firstLineChars="200"/>
      <w:jc w:val="both"/>
    </w:pPr>
    <w:rPr>
      <w:rFonts w:ascii="宋体" w:hAnsi="宋体" w:eastAsia="宋体" w:cs="Times New Roman"/>
      <w:color w:val="000000"/>
      <w:spacing w:val="6"/>
      <w:kern w:val="0"/>
      <w:szCs w:val="24"/>
    </w:rPr>
  </w:style>
  <w:style w:type="paragraph" w:styleId="53">
    <w:name w:val="List Paragraph"/>
    <w:basedOn w:val="1"/>
    <w:qFormat/>
    <w:uiPriority w:val="34"/>
    <w:pPr>
      <w:widowControl/>
      <w:spacing w:line="240" w:lineRule="auto"/>
      <w:ind w:firstLine="420" w:firstLineChars="200"/>
    </w:pPr>
    <w:rPr>
      <w:rFonts w:ascii="宋体" w:hAnsi="宋体" w:eastAsia="宋体" w:cs="宋体"/>
      <w:kern w:val="0"/>
      <w:szCs w:val="24"/>
    </w:rPr>
  </w:style>
  <w:style w:type="paragraph" w:customStyle="1" w:styleId="54">
    <w:name w:val="普通(网站)2"/>
    <w:basedOn w:val="1"/>
    <w:qFormat/>
    <w:uiPriority w:val="0"/>
    <w:pPr>
      <w:widowControl/>
      <w:spacing w:before="100" w:beforeAutospacing="1" w:after="100" w:afterAutospacing="1" w:line="240" w:lineRule="auto"/>
    </w:pPr>
    <w:rPr>
      <w:rFonts w:ascii="宋体" w:hAnsi="宋体" w:eastAsia="宋体" w:cs="Times New Roman"/>
      <w:szCs w:val="20"/>
    </w:rPr>
  </w:style>
  <w:style w:type="character" w:customStyle="1" w:styleId="55">
    <w:name w:val="24磅正文 Char"/>
    <w:link w:val="56"/>
    <w:qFormat/>
    <w:locked/>
    <w:uiPriority w:val="99"/>
    <w:rPr>
      <w:kern w:val="0"/>
      <w:sz w:val="20"/>
      <w:szCs w:val="20"/>
    </w:rPr>
  </w:style>
  <w:style w:type="paragraph" w:customStyle="1" w:styleId="56">
    <w:name w:val="24磅正文"/>
    <w:basedOn w:val="1"/>
    <w:link w:val="55"/>
    <w:qFormat/>
    <w:uiPriority w:val="99"/>
    <w:pPr>
      <w:spacing w:line="480" w:lineRule="exact"/>
      <w:ind w:firstLine="480" w:firstLineChars="200"/>
      <w:jc w:val="both"/>
    </w:pPr>
    <w:rPr>
      <w:rFonts w:asciiTheme="minorHAnsi" w:hAnsiTheme="minorHAnsi"/>
      <w:kern w:val="0"/>
      <w:sz w:val="20"/>
      <w:szCs w:val="20"/>
    </w:rPr>
  </w:style>
  <w:style w:type="paragraph" w:customStyle="1" w:styleId="57">
    <w:name w:val="表内容"/>
    <w:basedOn w:val="56"/>
    <w:qFormat/>
    <w:uiPriority w:val="99"/>
    <w:pPr>
      <w:spacing w:line="360" w:lineRule="exact"/>
      <w:ind w:firstLine="0" w:firstLineChars="0"/>
      <w:jc w:val="center"/>
    </w:pPr>
  </w:style>
  <w:style w:type="paragraph" w:customStyle="1" w:styleId="58">
    <w:name w:val="Table Paragraph"/>
    <w:basedOn w:val="1"/>
    <w:qFormat/>
    <w:uiPriority w:val="0"/>
    <w:pPr>
      <w:ind w:firstLine="200"/>
    </w:pPr>
    <w:rPr>
      <w:rFonts w:ascii="Calibri" w:hAnsi="Calibri" w:eastAsia="宋体" w:cs="Times New Roman"/>
      <w:kern w:val="0"/>
      <w:sz w:val="22"/>
    </w:rPr>
  </w:style>
  <w:style w:type="character" w:customStyle="1" w:styleId="59">
    <w:name w:val="未处理的提及1"/>
    <w:semiHidden/>
    <w:unhideWhenUsed/>
    <w:qFormat/>
    <w:uiPriority w:val="99"/>
    <w:rPr>
      <w:color w:val="605E5C"/>
      <w:shd w:val="clear" w:color="auto" w:fill="E1DFDD"/>
    </w:rPr>
  </w:style>
  <w:style w:type="paragraph" w:customStyle="1" w:styleId="60">
    <w:name w:val="正文11"/>
    <w:qFormat/>
    <w:uiPriority w:val="0"/>
    <w:pPr>
      <w:widowControl w:val="0"/>
      <w:adjustRightInd w:val="0"/>
      <w:spacing w:line="315" w:lineRule="atLeast"/>
      <w:jc w:val="both"/>
      <w:textAlignment w:val="baseline"/>
    </w:pPr>
    <w:rPr>
      <w:rFonts w:ascii="宋体" w:hAnsi="Times New Roman" w:eastAsia="宋体" w:cs="Times New Roman"/>
      <w:sz w:val="24"/>
      <w:szCs w:val="22"/>
      <w:lang w:val="en-US" w:eastAsia="zh-CN" w:bidi="ar-SA"/>
    </w:rPr>
  </w:style>
  <w:style w:type="paragraph" w:customStyle="1" w:styleId="61">
    <w:name w:val="0正文表内"/>
    <w:basedOn w:val="1"/>
    <w:next w:val="1"/>
    <w:qFormat/>
    <w:uiPriority w:val="0"/>
    <w:pPr>
      <w:spacing w:line="240" w:lineRule="auto"/>
    </w:pPr>
    <w:rPr>
      <w:rFonts w:eastAsia="宋体" w:cs="Times New Roman"/>
    </w:rPr>
  </w:style>
  <w:style w:type="character" w:customStyle="1" w:styleId="62">
    <w:name w:val="标题 字符"/>
    <w:basedOn w:val="22"/>
    <w:link w:val="17"/>
    <w:qFormat/>
    <w:uiPriority w:val="0"/>
    <w:rPr>
      <w:rFonts w:ascii="等线 Light" w:hAnsi="等线 Light" w:eastAsia="宋体" w:cs="Times New Roman"/>
      <w:b/>
      <w:bCs/>
      <w:sz w:val="32"/>
      <w:szCs w:val="32"/>
    </w:rPr>
  </w:style>
  <w:style w:type="character" w:customStyle="1" w:styleId="63">
    <w:name w:val="正文缩进 字符"/>
    <w:link w:val="5"/>
    <w:qFormat/>
    <w:uiPriority w:val="0"/>
    <w:rPr>
      <w:rFonts w:ascii="仿宋_GB2312" w:hAnsi="Arial Black" w:eastAsia="仿宋_GB2312" w:cs="Times New Roman"/>
      <w:sz w:val="28"/>
      <w:szCs w:val="24"/>
    </w:rPr>
  </w:style>
  <w:style w:type="paragraph" w:customStyle="1" w:styleId="64">
    <w:name w:val="Default"/>
    <w:qFormat/>
    <w:uiPriority w:val="0"/>
    <w:pPr>
      <w:widowControl w:val="0"/>
      <w:autoSpaceDE w:val="0"/>
      <w:autoSpaceDN w:val="0"/>
      <w:adjustRightInd w:val="0"/>
    </w:pPr>
    <w:rPr>
      <w:rFonts w:ascii="宋体_x0008_...." w:hAnsi="Times New Roman" w:eastAsia="宋体_x0008_...." w:cs="宋体_x0008_...."/>
      <w:color w:val="000000"/>
      <w:sz w:val="24"/>
      <w:szCs w:val="24"/>
      <w:lang w:val="en-US" w:eastAsia="zh-CN" w:bidi="ar-SA"/>
    </w:rPr>
  </w:style>
  <w:style w:type="paragraph" w:customStyle="1" w:styleId="65">
    <w:name w:val="文"/>
    <w:qFormat/>
    <w:uiPriority w:val="0"/>
    <w:pPr>
      <w:spacing w:before="30" w:beforeLines="30" w:after="20" w:afterLines="20" w:line="420" w:lineRule="atLeast"/>
      <w:ind w:firstLine="200" w:firstLineChars="200"/>
      <w:jc w:val="both"/>
    </w:pPr>
    <w:rPr>
      <w:rFonts w:ascii="Times New Roman" w:hAnsi="Times New Roman" w:eastAsia="宋体" w:cs="Times New Roman"/>
      <w:bCs/>
      <w:sz w:val="24"/>
      <w:szCs w:val="28"/>
      <w:lang w:val="en-US" w:eastAsia="zh-CN" w:bidi="ar-SA"/>
    </w:rPr>
  </w:style>
  <w:style w:type="paragraph" w:customStyle="1" w:styleId="66">
    <w:name w:val="msonospacing"/>
    <w:basedOn w:val="8"/>
    <w:qFormat/>
    <w:uiPriority w:val="0"/>
    <w:pPr>
      <w:widowControl w:val="0"/>
      <w:spacing w:before="0" w:after="0" w:line="240" w:lineRule="auto"/>
      <w:ind w:right="0"/>
      <w:jc w:val="center"/>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wmf"/><Relationship Id="rId17" Type="http://schemas.openxmlformats.org/officeDocument/2006/relationships/oleObject" Target="embeddings/oleObject3.bin"/><Relationship Id="rId16" Type="http://schemas.openxmlformats.org/officeDocument/2006/relationships/image" Target="media/image7.wmf"/><Relationship Id="rId15" Type="http://schemas.openxmlformats.org/officeDocument/2006/relationships/oleObject" Target="embeddings/oleObject2.bin"/><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4824</Words>
  <Characters>27497</Characters>
  <Lines>229</Lines>
  <Paragraphs>64</Paragraphs>
  <TotalTime>33</TotalTime>
  <ScaleCrop>false</ScaleCrop>
  <LinksUpToDate>false</LinksUpToDate>
  <CharactersWithSpaces>32257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2021-12-21T01:05:00Z</dcterms:created>
  <dc:creator>Administrator</dc:creator>
  <cp:lastModifiedBy>★H_H★</cp:lastModifiedBy>
  <cp:lastPrinted>2023-03-31T09:25:00Z</cp:lastPrinted>
  <dcterms:modified xsi:type="dcterms:W3CDTF">2023-04-04T08:59:07Z</dcterms:modified>
  <cp:revision>994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1E1C7CB59C5C4A12AE66B998B65D0FDB</vt:lpwstr>
  </property>
</Properties>
</file>