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ascii="方正小标宋简体" w:hAnsi="黑体" w:eastAsia="方正小标宋简体" w:cs="黑体"/>
          <w:snapToGrid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ascii="方正小标宋简体" w:hAnsi="黑体" w:eastAsia="方正小标宋简体" w:cs="黑体"/>
          <w:snapToGrid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ascii="方正小标宋简体" w:hAnsi="黑体" w:eastAsia="方正小标宋简体" w:cs="黑体"/>
          <w:snapToGrid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ascii="方正小标宋简体" w:hAnsi="黑体" w:eastAsia="方正小标宋简体" w:cs="黑体"/>
          <w:snapToGrid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ascii="方正小标宋简体" w:hAnsi="黑体" w:eastAsia="方正小标宋简体" w:cs="黑体"/>
          <w:snapToGrid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ascii="方正小标宋简体" w:hAnsi="黑体" w:eastAsia="方正小标宋简体" w:cs="黑体"/>
          <w:snapToGrid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ascii="方正小标宋简体" w:hAnsi="黑体" w:eastAsia="方正小标宋简体" w:cs="黑体"/>
          <w:snapToGrid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jc w:val="center"/>
        <w:textAlignment w:val="auto"/>
        <w:rPr>
          <w:rFonts w:hint="eastAsia" w:ascii="仿宋_GB2312" w:hAnsi="黑体" w:eastAsia="仿宋_GB2312" w:cs="黑体"/>
          <w:snapToGrid w:val="0"/>
          <w:sz w:val="32"/>
          <w:szCs w:val="32"/>
        </w:rPr>
      </w:pPr>
      <w:r>
        <w:rPr>
          <w:rFonts w:hint="eastAsia" w:ascii="仿宋_GB2312" w:hAnsi="黑体" w:eastAsia="仿宋_GB2312" w:cs="黑体"/>
          <w:snapToGrid w:val="0"/>
          <w:sz w:val="32"/>
          <w:szCs w:val="32"/>
        </w:rPr>
        <w:t>平政发〔</w:t>
      </w:r>
      <w:r>
        <w:rPr>
          <w:rFonts w:ascii="仿宋_GB2312" w:hAnsi="黑体" w:eastAsia="仿宋_GB2312" w:cs="黑体"/>
          <w:snapToGrid w:val="0"/>
          <w:sz w:val="32"/>
          <w:szCs w:val="32"/>
        </w:rPr>
        <w:t>2022</w:t>
      </w:r>
      <w:r>
        <w:rPr>
          <w:rFonts w:hint="eastAsia" w:ascii="仿宋_GB2312" w:hAnsi="黑体" w:eastAsia="仿宋_GB2312" w:cs="黑体"/>
          <w:snapToGrid w:val="0"/>
          <w:sz w:val="32"/>
          <w:szCs w:val="32"/>
        </w:rPr>
        <w:t>〕</w:t>
      </w:r>
      <w:r>
        <w:rPr>
          <w:rFonts w:hint="eastAsia" w:ascii="仿宋_GB2312" w:hAnsi="黑体" w:eastAsia="仿宋_GB2312" w:cs="黑体"/>
          <w:snapToGrid w:val="0"/>
          <w:sz w:val="32"/>
          <w:szCs w:val="32"/>
          <w:lang w:val="en-US" w:eastAsia="zh-CN"/>
        </w:rPr>
        <w:t>19</w:t>
      </w:r>
      <w:r>
        <w:rPr>
          <w:rFonts w:hint="eastAsia" w:ascii="仿宋_GB2312" w:hAnsi="黑体" w:eastAsia="仿宋_GB2312" w:cs="黑体"/>
          <w:snapToGrid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jc w:val="center"/>
        <w:textAlignment w:val="auto"/>
        <w:rPr>
          <w:rFonts w:hint="eastAsia" w:ascii="仿宋_GB2312" w:hAnsi="黑体" w:eastAsia="仿宋_GB2312" w:cs="黑体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平利县人民政府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关于印发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《平利县全民健身实施计划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(20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—202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年)》的通知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78" w:lineRule="exact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78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各镇人民政府，县政府各工作部门、直属机构：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现将《平利县全民健身实施计划(20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年)》印发给你们，请认真贯彻执行。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78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78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平利县人民政府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78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jc w:val="center"/>
        <w:textAlignment w:val="auto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平利县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全民健身实施计划（</w:t>
      </w:r>
      <w:r>
        <w:rPr>
          <w:rFonts w:ascii="方正小标宋简体" w:eastAsia="方正小标宋简体"/>
          <w:b w:val="0"/>
          <w:bCs w:val="0"/>
          <w:sz w:val="44"/>
          <w:szCs w:val="44"/>
        </w:rPr>
        <w:t>2021-2025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jc w:val="center"/>
        <w:textAlignment w:val="auto"/>
        <w:outlineLvl w:val="0"/>
        <w:rPr>
          <w:rFonts w:hint="eastAsia" w:ascii="仿宋_GB2312" w:hAnsi="华文中宋" w:eastAsia="仿宋_GB2312"/>
          <w:b w:val="0"/>
          <w:bCs w:val="0"/>
          <w:sz w:val="32"/>
          <w:szCs w:val="32"/>
        </w:rPr>
      </w:pPr>
      <w:bookmarkStart w:id="0" w:name="_Toc62180692"/>
      <w:bookmarkStart w:id="1" w:name="_Toc62176508"/>
      <w:bookmarkStart w:id="2" w:name="_Toc62177778"/>
      <w:bookmarkStart w:id="3" w:name="_Toc62222595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为推动我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" w:eastAsia="仿宋_GB2312"/>
          <w:sz w:val="32"/>
          <w:szCs w:val="32"/>
        </w:rPr>
        <w:t>全民健身事业高质量发展，提高群众的健康水平和生活品质，根据国务院《全民健身条例》《全民健身计划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ascii="仿宋_GB2312" w:hAnsi="仿宋" w:eastAsia="仿宋_GB2312"/>
          <w:sz w:val="32"/>
          <w:szCs w:val="32"/>
        </w:rPr>
        <w:t>2021—2025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》《陕西省“十四五”体育事业发展规划》《安康市国民经济和社会发展第十四个五年规划纲要》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sz w:val="32"/>
          <w:szCs w:val="32"/>
        </w:rPr>
        <w:t>《安康市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全民健身实施计划（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2021—2025年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》，结合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本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" w:eastAsia="仿宋_GB2312"/>
          <w:sz w:val="32"/>
          <w:szCs w:val="32"/>
        </w:rPr>
        <w:t>实际，制定本实施计划。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outlineLvl w:val="0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一、</w:t>
      </w:r>
      <w:bookmarkEnd w:id="0"/>
      <w:bookmarkEnd w:id="1"/>
      <w:bookmarkEnd w:id="2"/>
      <w:bookmarkEnd w:id="3"/>
      <w:bookmarkStart w:id="4" w:name="_Toc62222596"/>
      <w:bookmarkStart w:id="5" w:name="_Toc62176509"/>
      <w:bookmarkStart w:id="6" w:name="_Toc62177779"/>
      <w:bookmarkStart w:id="7" w:name="_Toc62180693"/>
      <w:r>
        <w:rPr>
          <w:rFonts w:hint="eastAsia" w:ascii="黑体" w:hAnsi="黑体" w:eastAsia="黑体"/>
          <w:b w:val="0"/>
          <w:bCs w:val="0"/>
          <w:sz w:val="32"/>
          <w:szCs w:val="32"/>
        </w:rPr>
        <w:t>指导思想</w:t>
      </w:r>
      <w:bookmarkEnd w:id="4"/>
      <w:bookmarkEnd w:id="5"/>
      <w:bookmarkEnd w:id="6"/>
      <w:bookmarkEnd w:id="7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5"/>
        <w:jc w:val="both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以习近平新时代中国特色社会主义思想为指导，全面落实党的十九大和十九届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历次</w:t>
      </w:r>
      <w:r>
        <w:rPr>
          <w:rFonts w:hint="eastAsia" w:ascii="仿宋_GB2312" w:hAnsi="微软雅黑" w:eastAsia="仿宋_GB2312"/>
          <w:sz w:val="32"/>
          <w:szCs w:val="32"/>
        </w:rPr>
        <w:t>全会精神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/>
          <w:sz w:val="32"/>
          <w:szCs w:val="32"/>
        </w:rPr>
        <w:t>深入贯彻习近平总书记来陕考察重要讲话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重要指示</w:t>
      </w:r>
      <w:r>
        <w:rPr>
          <w:rFonts w:hint="eastAsia" w:ascii="仿宋_GB2312" w:hAnsi="微软雅黑" w:eastAsia="仿宋_GB2312"/>
          <w:sz w:val="32"/>
          <w:szCs w:val="32"/>
        </w:rPr>
        <w:t>精神，以改革创新为根本动力，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以提高人民健康水平、促进人的全面发展为根本任务，将全民健身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作为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推动经济社会发展的重要动力，</w:t>
      </w:r>
      <w:r>
        <w:rPr>
          <w:rFonts w:hint="eastAsia" w:ascii="仿宋_GB2312" w:hAnsi="微软雅黑" w:eastAsia="仿宋_GB2312"/>
          <w:sz w:val="32"/>
          <w:szCs w:val="32"/>
        </w:rPr>
        <w:t>聚焦关键环节、强化服务保障、促进均衡发展，</w:t>
      </w:r>
      <w:r>
        <w:rPr>
          <w:rFonts w:hint="eastAsia" w:ascii="仿宋_GB2312" w:hAnsi="仿宋" w:eastAsia="仿宋_GB2312" w:cs="仿宋_GB2312"/>
          <w:sz w:val="32"/>
          <w:szCs w:val="32"/>
        </w:rPr>
        <w:t>努力构建更高水平的全民健身公共服务体系，为奋力谱写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平利高质量发展</w:t>
      </w:r>
      <w:r>
        <w:rPr>
          <w:rFonts w:hint="eastAsia" w:ascii="仿宋_GB2312" w:hAnsi="仿宋" w:eastAsia="仿宋_GB2312" w:cs="仿宋_GB2312"/>
          <w:sz w:val="32"/>
          <w:szCs w:val="32"/>
        </w:rPr>
        <w:t>新篇章贡献力量。</w:t>
      </w:r>
      <w:bookmarkStart w:id="8" w:name="_Toc62176510"/>
      <w:bookmarkStart w:id="9" w:name="_Toc62180694"/>
      <w:bookmarkStart w:id="10" w:name="_Toc62177780"/>
      <w:bookmarkStart w:id="11" w:name="_Toc62222597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5"/>
        <w:jc w:val="both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二、发展目标</w:t>
      </w:r>
      <w:bookmarkEnd w:id="8"/>
      <w:bookmarkEnd w:id="9"/>
      <w:bookmarkEnd w:id="10"/>
      <w:bookmarkEnd w:id="1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0"/>
        <w:jc w:val="both"/>
        <w:textAlignment w:val="auto"/>
        <w:outlineLvl w:val="1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到</w:t>
      </w:r>
      <w:r>
        <w:rPr>
          <w:rFonts w:ascii="仿宋_GB2312" w:hAnsi="仿宋" w:eastAsia="仿宋_GB2312" w:cs="仿宋_GB2312"/>
          <w:sz w:val="32"/>
          <w:szCs w:val="32"/>
        </w:rPr>
        <w:t>2025</w:t>
      </w:r>
      <w:r>
        <w:rPr>
          <w:rFonts w:hint="eastAsia" w:ascii="仿宋_GB2312" w:hAnsi="仿宋" w:eastAsia="仿宋_GB2312" w:cs="仿宋_GB2312"/>
          <w:sz w:val="32"/>
          <w:szCs w:val="32"/>
        </w:rPr>
        <w:t>年，人民群众通过健身促进健康的热情日益高涨，全民健身公共服务的质量和水平不断提升，逐渐形成更有效率、更加公平、更可持续、更为安全的全民健身公共服务体系。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——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场地设施更加完善。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全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县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人均体育场地面积</w:t>
      </w:r>
      <w:r>
        <w:rPr>
          <w:rFonts w:hint="eastAsia" w:ascii="仿宋_GB2312" w:hAnsi="仿宋" w:eastAsia="仿宋_GB2312"/>
          <w:sz w:val="32"/>
          <w:szCs w:val="32"/>
        </w:rPr>
        <w:t>达到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2.4</w:t>
      </w:r>
      <w:r>
        <w:rPr>
          <w:rFonts w:hint="eastAsia" w:ascii="仿宋_GB2312" w:hAnsi="仿宋" w:eastAsia="仿宋_GB2312"/>
          <w:sz w:val="32"/>
          <w:szCs w:val="32"/>
        </w:rPr>
        <w:t>平方米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基本建成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县城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“</w:t>
      </w:r>
      <w:r>
        <w:rPr>
          <w:rFonts w:ascii="仿宋_GB2312" w:hAnsi="仿宋" w:eastAsia="仿宋_GB2312"/>
          <w:color w:val="000000"/>
          <w:sz w:val="32"/>
          <w:szCs w:val="32"/>
        </w:rPr>
        <w:t>15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分钟健身圈”。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23" w:firstLineChars="195"/>
        <w:jc w:val="both"/>
        <w:textAlignment w:val="auto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——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赛事活动更具活力。</w:t>
      </w:r>
      <w:r>
        <w:rPr>
          <w:rFonts w:hint="eastAsia" w:ascii="仿宋_GB2312" w:hAnsi="仿宋" w:eastAsia="仿宋_GB2312" w:cs="宋体"/>
          <w:sz w:val="32"/>
          <w:szCs w:val="32"/>
        </w:rPr>
        <w:t>持续办好“平安顺利·幸福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安康</w:t>
      </w:r>
      <w:r>
        <w:rPr>
          <w:rFonts w:hint="eastAsia" w:ascii="仿宋_GB2312" w:hAnsi="仿宋" w:eastAsia="仿宋_GB2312" w:cs="宋体"/>
          <w:sz w:val="32"/>
          <w:szCs w:val="32"/>
        </w:rPr>
        <w:t>”品牌赛事，重点培育</w:t>
      </w:r>
      <w:r>
        <w:rPr>
          <w:rFonts w:ascii="仿宋_GB2312" w:hAnsi="仿宋" w:eastAsia="仿宋_GB2312" w:cs="宋体"/>
          <w:sz w:val="32"/>
          <w:szCs w:val="32"/>
        </w:rPr>
        <w:t>1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—</w:t>
      </w:r>
      <w:r>
        <w:rPr>
          <w:rFonts w:ascii="仿宋_GB2312" w:hAnsi="仿宋" w:eastAsia="仿宋_GB2312" w:cs="宋体"/>
          <w:sz w:val="32"/>
          <w:szCs w:val="32"/>
        </w:rPr>
        <w:t>2</w:t>
      </w:r>
      <w:r>
        <w:rPr>
          <w:rFonts w:hint="eastAsia" w:ascii="仿宋_GB2312" w:hAnsi="仿宋" w:eastAsia="仿宋_GB2312" w:cs="宋体"/>
          <w:sz w:val="32"/>
          <w:szCs w:val="32"/>
        </w:rPr>
        <w:t>个精品赛事。“十四五”期间，全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县</w:t>
      </w:r>
      <w:r>
        <w:rPr>
          <w:rFonts w:hint="eastAsia" w:ascii="仿宋_GB2312" w:hAnsi="仿宋" w:eastAsia="仿宋_GB2312" w:cs="宋体"/>
          <w:sz w:val="32"/>
          <w:szCs w:val="32"/>
        </w:rPr>
        <w:t>举办各类全民健身赛事活动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sz w:val="32"/>
          <w:szCs w:val="32"/>
        </w:rPr>
        <w:t>场次以上，赛事活动更加丰富，参赛观赛成为人民群众美好生活内容。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——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指导服务更加科学。</w:t>
      </w:r>
      <w:r>
        <w:rPr>
          <w:rFonts w:hint="eastAsia" w:ascii="仿宋_GB2312" w:hAnsi="仿宋" w:eastAsia="仿宋_GB2312"/>
          <w:sz w:val="32"/>
          <w:szCs w:val="32"/>
        </w:rPr>
        <w:t>常态化开展国民体质监测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继续实施《国家学生体质健康标准》，学生体质健康状况持续改善。全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" w:eastAsia="仿宋_GB2312"/>
          <w:sz w:val="32"/>
          <w:szCs w:val="32"/>
        </w:rPr>
        <w:t>社会体育指导员总数达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150</w:t>
      </w:r>
      <w:r>
        <w:rPr>
          <w:rFonts w:hint="eastAsia" w:ascii="仿宋_GB2312" w:hAnsi="仿宋" w:eastAsia="仿宋_GB2312"/>
          <w:sz w:val="32"/>
          <w:szCs w:val="32"/>
        </w:rPr>
        <w:t>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——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社会组织更加规范。</w:t>
      </w:r>
      <w:r>
        <w:rPr>
          <w:rFonts w:hint="eastAsia" w:ascii="仿宋_GB2312" w:hAnsi="仿宋" w:eastAsia="仿宋_GB2312"/>
          <w:sz w:val="32"/>
          <w:szCs w:val="32"/>
        </w:rPr>
        <w:t>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县新</w:t>
      </w:r>
      <w:r>
        <w:rPr>
          <w:rFonts w:hint="eastAsia" w:ascii="仿宋_GB2312" w:hAnsi="仿宋" w:eastAsia="仿宋_GB2312"/>
          <w:sz w:val="32"/>
          <w:szCs w:val="32"/>
        </w:rPr>
        <w:t>注册各级各类体育社会组织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1—2</w:t>
      </w:r>
      <w:r>
        <w:rPr>
          <w:rFonts w:hint="eastAsia" w:ascii="仿宋_GB2312" w:hAnsi="仿宋" w:eastAsia="仿宋_GB2312"/>
          <w:sz w:val="32"/>
          <w:szCs w:val="32"/>
        </w:rPr>
        <w:t>个，制定出台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全县</w:t>
      </w:r>
      <w:r>
        <w:rPr>
          <w:rFonts w:hint="eastAsia" w:ascii="仿宋_GB2312" w:hAnsi="仿宋" w:eastAsia="仿宋_GB2312"/>
          <w:sz w:val="32"/>
          <w:szCs w:val="32"/>
        </w:rPr>
        <w:t>体育社会组织规范性文件。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——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群众参与更加广泛。</w:t>
      </w:r>
      <w:r>
        <w:rPr>
          <w:rFonts w:hint="eastAsia" w:ascii="仿宋_GB2312" w:hAnsi="仿宋" w:eastAsia="仿宋_GB2312"/>
          <w:sz w:val="32"/>
          <w:szCs w:val="32"/>
        </w:rPr>
        <w:t>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" w:eastAsia="仿宋_GB2312"/>
          <w:sz w:val="32"/>
          <w:szCs w:val="32"/>
        </w:rPr>
        <w:t>经常参加体育锻炼人数比例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</w:rPr>
        <w:t>以上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——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体育产业加速发展。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鼓励有志社会青年返乡创业，刺激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人均体育消费支出不断提高，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带动全县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经济上升。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outlineLvl w:val="1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三、工作任务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shd w:val="clear" w:color="auto" w:fill="auto"/>
        </w:rPr>
        <w:t>完善全民健身场地设施供给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推进公共体育设施县级“七个一”、镇村级“三个一”建设（附件1）。实施全民健身设施补短板工程，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各镇各部门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要认真落实全民健身设施建设补短板五年行动计划，按照“十四五”全民健身场地设施补短板工程任务（附件2），逐年完成销号。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县城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建设、乡村振兴、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老旧小区改造、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综合治理等，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城区新建学校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、公共体育场、户外运动设施、健身步道、社会足球场等健身设施建设。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社区和农村人口集中点体育设施“两提升”行动，加强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集镇、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村（社区）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体育设施建设。合理利用公园绿地、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路桥附属用地、边角地等“金边银角”，结合实际建设健身设施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鼓励社会力量参与投资建设体育场地设施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持续完善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平利县体育场馆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免费或低收费开放工作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，做好体育场馆信息化改造和开放管理工作，提升服务水平。支持学校、企事业单位体育场地设施在保障安全的条件下向社会开放。加强场地设施的管理维护，努力为群众提供安全便捷的健身环境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（责任单位：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县发改局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县教科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局、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县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财政局、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县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自然资源局、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县住建局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县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水利局、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县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林业局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、县经贸局，各镇人民政府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outlineLvl w:val="1"/>
        <w:rPr>
          <w:rFonts w:hint="eastAsia" w:ascii="仿宋_GB2312" w:hAnsi="仿宋" w:eastAsia="楷体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丰富群众赛事活动内容内涵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积极推动群众性赛事活动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经常化、大众化、特色化、生活化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 w:cs="宋体"/>
          <w:sz w:val="32"/>
          <w:szCs w:val="32"/>
        </w:rPr>
        <w:t>加大举办体育赛事力度。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做响做亮龙舟竞赛、五人制足球赛、篮球联赛、各类协会比赛、</w:t>
      </w:r>
      <w:r>
        <w:rPr>
          <w:rFonts w:hint="eastAsia" w:ascii="仿宋_GB2312" w:hAnsi="仿宋" w:eastAsia="仿宋_GB2312" w:cs="宋体"/>
          <w:sz w:val="32"/>
          <w:szCs w:val="32"/>
        </w:rPr>
        <w:t>山地越野赛等“平安顺利·幸福安康”品牌赛事，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积极参加</w:t>
      </w:r>
      <w:r>
        <w:rPr>
          <w:rFonts w:hint="eastAsia" w:ascii="仿宋_GB2312" w:hAnsi="仿宋" w:eastAsia="仿宋_GB2312" w:cs="宋体"/>
          <w:sz w:val="32"/>
          <w:szCs w:val="32"/>
        </w:rPr>
        <w:t>“一带一路”省级精品赛事。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持续办好</w:t>
      </w:r>
      <w:r>
        <w:rPr>
          <w:rFonts w:hint="eastAsia" w:ascii="仿宋_GB2312" w:hAnsi="仿宋" w:eastAsia="仿宋_GB2312" w:cs="宋体"/>
          <w:sz w:val="32"/>
          <w:szCs w:val="32"/>
        </w:rPr>
        <w:t>平利环秦岭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自行车赛，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推动形成“一县一特色”赛事格局</w:t>
      </w:r>
      <w:r>
        <w:rPr>
          <w:rFonts w:hint="eastAsia" w:ascii="仿宋_GB2312" w:hAnsi="仿宋" w:eastAsia="仿宋_GB2312" w:cs="宋体"/>
          <w:sz w:val="32"/>
          <w:szCs w:val="32"/>
        </w:rPr>
        <w:t>。支持有条件的镇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、村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sz w:val="32"/>
          <w:szCs w:val="32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sz w:val="32"/>
          <w:szCs w:val="32"/>
        </w:rPr>
        <w:t>积极开展农民运动会和社区运动会。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按照“小型、分散、多样”的原则，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大力开展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“三大球”运动。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/>
        </w:rPr>
        <w:t>支持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各协会组织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健身人群经常性地开展群众喜闻乐见、参与度高的赛事活动。积极组队参加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/>
        </w:rPr>
        <w:t>县域外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群众性赛事活动，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/>
        </w:rPr>
        <w:t>扩大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赛事交流</w:t>
      </w:r>
      <w:r>
        <w:rPr>
          <w:rFonts w:hint="eastAsia" w:ascii="楷体_GB2312" w:eastAsia="楷体_GB2312"/>
          <w:b w:val="0"/>
          <w:bCs/>
          <w:sz w:val="32"/>
          <w:szCs w:val="32"/>
        </w:rPr>
        <w:t>（责任单位：</w:t>
      </w:r>
      <w:r>
        <w:rPr>
          <w:rFonts w:hint="eastAsia" w:ascii="楷体_GB2312" w:eastAsia="楷体_GB2312"/>
          <w:b w:val="0"/>
          <w:bCs/>
          <w:sz w:val="32"/>
          <w:szCs w:val="32"/>
          <w:lang w:eastAsia="zh-CN"/>
        </w:rPr>
        <w:t>县教科</w:t>
      </w:r>
      <w:r>
        <w:rPr>
          <w:rFonts w:hint="eastAsia" w:ascii="楷体_GB2312" w:eastAsia="楷体_GB2312"/>
          <w:b w:val="0"/>
          <w:bCs/>
          <w:sz w:val="32"/>
          <w:szCs w:val="32"/>
        </w:rPr>
        <w:t>局、</w:t>
      </w:r>
      <w:r>
        <w:rPr>
          <w:rFonts w:hint="eastAsia" w:ascii="楷体_GB2312" w:eastAsia="楷体_GB2312"/>
          <w:b w:val="0"/>
          <w:bCs/>
          <w:sz w:val="32"/>
          <w:szCs w:val="32"/>
          <w:lang w:eastAsia="zh-CN"/>
        </w:rPr>
        <w:t>县</w:t>
      </w:r>
      <w:r>
        <w:rPr>
          <w:rFonts w:hint="eastAsia" w:ascii="楷体_GB2312" w:eastAsia="楷体_GB2312"/>
          <w:b w:val="0"/>
          <w:bCs/>
          <w:sz w:val="32"/>
          <w:szCs w:val="32"/>
        </w:rPr>
        <w:t>文旅局、</w:t>
      </w:r>
      <w:r>
        <w:rPr>
          <w:rFonts w:hint="eastAsia" w:ascii="楷体_GB2312" w:eastAsia="楷体_GB2312"/>
          <w:b w:val="0"/>
          <w:bCs/>
          <w:sz w:val="32"/>
          <w:szCs w:val="32"/>
          <w:lang w:eastAsia="zh-CN"/>
        </w:rPr>
        <w:t>县农业农村局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，各镇人民政府</w:t>
      </w:r>
      <w:r>
        <w:rPr>
          <w:rFonts w:hint="eastAsia" w:ascii="楷体_GB2312" w:eastAsia="楷体_GB2312"/>
          <w:b w:val="0"/>
          <w:bCs/>
          <w:sz w:val="32"/>
          <w:szCs w:val="32"/>
        </w:rPr>
        <w:t>）</w:t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（三）提高科学健身指导服务水平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楷体" w:eastAsia="仿宋_GB2312"/>
          <w:sz w:val="32"/>
          <w:szCs w:val="32"/>
        </w:rPr>
        <w:t>深化科学健身指导服务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楷体" w:eastAsia="仿宋_GB2312"/>
          <w:sz w:val="32"/>
          <w:szCs w:val="32"/>
        </w:rPr>
        <w:t>常态化开展国民体质监测，</w:t>
      </w:r>
      <w:r>
        <w:rPr>
          <w:rFonts w:hint="eastAsia" w:ascii="仿宋_GB2312" w:eastAsia="仿宋_GB2312"/>
          <w:sz w:val="32"/>
          <w:szCs w:val="32"/>
        </w:rPr>
        <w:t>推广个人健康档案和运动处方服务，不断提</w:t>
      </w:r>
      <w:r>
        <w:rPr>
          <w:rFonts w:hint="eastAsia" w:ascii="仿宋_GB2312" w:eastAsia="仿宋_GB2312"/>
          <w:sz w:val="32"/>
          <w:szCs w:val="32"/>
          <w:lang w:eastAsia="zh-CN"/>
        </w:rPr>
        <w:t>高</w:t>
      </w:r>
      <w:r>
        <w:rPr>
          <w:rFonts w:hint="eastAsia" w:ascii="仿宋_GB2312" w:eastAsia="仿宋_GB2312"/>
          <w:sz w:val="32"/>
          <w:szCs w:val="32"/>
        </w:rPr>
        <w:t>国民体质测试合格率。</w:t>
      </w:r>
      <w:r>
        <w:rPr>
          <w:rFonts w:hint="eastAsia" w:ascii="仿宋_GB2312" w:hAnsi="仿宋" w:eastAsia="仿宋_GB2312"/>
          <w:sz w:val="32"/>
          <w:szCs w:val="32"/>
        </w:rPr>
        <w:t>认真实施《国家学生体质健康标准》，持续改善学生体质健康状况。</w:t>
      </w:r>
      <w:r>
        <w:rPr>
          <w:rFonts w:hint="eastAsia" w:ascii="仿宋_GB2312" w:hAnsi="楷体" w:eastAsia="仿宋_GB2312"/>
          <w:sz w:val="32"/>
          <w:szCs w:val="32"/>
        </w:rPr>
        <w:t>大力推广《国家体育锻炼标准》，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深入</w:t>
      </w:r>
      <w:r>
        <w:rPr>
          <w:rFonts w:hint="eastAsia" w:ascii="仿宋_GB2312" w:hAnsi="楷体" w:eastAsia="仿宋_GB2312"/>
          <w:sz w:val="32"/>
          <w:szCs w:val="32"/>
        </w:rPr>
        <w:t>开展达标测验活动，不断提高群众科学健身水平。</w:t>
      </w:r>
      <w:r>
        <w:rPr>
          <w:rFonts w:hint="eastAsia" w:ascii="仿宋_GB2312" w:hAnsi="仿宋" w:eastAsia="仿宋_GB2312"/>
          <w:sz w:val="32"/>
          <w:szCs w:val="32"/>
        </w:rPr>
        <w:t>继续做好全民健身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进机关、进企业、进社区、进家庭、进网络</w:t>
      </w:r>
      <w:r>
        <w:rPr>
          <w:rFonts w:hint="eastAsia" w:ascii="仿宋_GB2312" w:hAnsi="仿宋" w:eastAsia="仿宋_GB2312"/>
          <w:sz w:val="32"/>
          <w:szCs w:val="32"/>
        </w:rPr>
        <w:t>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五进</w:t>
      </w:r>
      <w:r>
        <w:rPr>
          <w:rFonts w:hint="eastAsia" w:ascii="仿宋_GB2312" w:hAnsi="仿宋" w:eastAsia="仿宋_GB2312"/>
          <w:sz w:val="32"/>
          <w:szCs w:val="32"/>
        </w:rPr>
        <w:t>”活动，普及科学健身知识。加大社会体育指导员培训力度，</w:t>
      </w:r>
      <w:r>
        <w:rPr>
          <w:rFonts w:hint="eastAsia" w:ascii="仿宋_GB2312" w:hAnsi="楷体" w:eastAsia="仿宋_GB2312"/>
          <w:sz w:val="32"/>
          <w:szCs w:val="32"/>
        </w:rPr>
        <w:t>结合</w:t>
      </w:r>
      <w:r>
        <w:rPr>
          <w:rFonts w:hint="eastAsia" w:ascii="仿宋_GB2312" w:hAnsi="仿宋" w:eastAsia="仿宋_GB2312"/>
          <w:sz w:val="32"/>
          <w:szCs w:val="32"/>
        </w:rPr>
        <w:t>实际向镇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村（社区）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、协会等</w:t>
      </w:r>
      <w:r>
        <w:rPr>
          <w:rFonts w:hint="eastAsia" w:ascii="仿宋_GB2312" w:hAnsi="仿宋" w:eastAsia="仿宋_GB2312"/>
          <w:sz w:val="32"/>
          <w:szCs w:val="32"/>
        </w:rPr>
        <w:t>延伸，扩大职业类别，丰富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人员</w:t>
      </w:r>
      <w:r>
        <w:rPr>
          <w:rFonts w:hint="eastAsia" w:ascii="仿宋_GB2312" w:hAnsi="仿宋" w:eastAsia="仿宋_GB2312"/>
          <w:sz w:val="32"/>
          <w:szCs w:val="32"/>
        </w:rPr>
        <w:t>结构。完善社会体育指导员奖励激励机制，开展优秀社会体育指导员评选工作。坚持线上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线下相结合的方式开展科学健身指导，做好常态化疫情防控下的科学健身推广与普及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（责任单位：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县教科局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县卫健局，各镇人民政府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（四）促进体育组织发展壮大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加强对体育社会组织的业务指导和行业监管，进一步完善全民健身组织网络体系。壮大体育协会队伍，推行体育总会、社会体育指导员协会、老年人体育协会、农民体育协会加若干单项体育协会的“4+X”模式。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加强基层体育组织建设</w:t>
      </w:r>
      <w:r>
        <w:rPr>
          <w:rFonts w:hint="eastAsia" w:ascii="仿宋_GB2312" w:hAnsi="仿宋" w:eastAsia="仿宋_GB2312"/>
          <w:sz w:val="32"/>
          <w:szCs w:val="32"/>
        </w:rPr>
        <w:t>，鼓励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体育总会</w:t>
      </w:r>
      <w:r>
        <w:rPr>
          <w:rFonts w:hint="eastAsia" w:ascii="仿宋_GB2312" w:hAnsi="仿宋" w:eastAsia="仿宋_GB2312"/>
          <w:sz w:val="32"/>
          <w:szCs w:val="32"/>
        </w:rPr>
        <w:t>向镇延伸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各类体育社会组织下沉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镇、村（社区）。</w:t>
      </w:r>
      <w:r>
        <w:rPr>
          <w:rFonts w:hint="eastAsia" w:ascii="仿宋_GB2312" w:hAnsi="仿宋" w:eastAsia="仿宋_GB2312"/>
          <w:sz w:val="32"/>
          <w:szCs w:val="32"/>
        </w:rPr>
        <w:t>探索体育社会组织评价机制，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将运动项目的推广普及作为单项体育协会的主要评价指标，</w:t>
      </w:r>
      <w:r>
        <w:rPr>
          <w:rFonts w:hint="eastAsia" w:ascii="仿宋_GB2312" w:hAnsi="仿宋" w:eastAsia="仿宋_GB2312"/>
          <w:sz w:val="32"/>
          <w:szCs w:val="32"/>
        </w:rPr>
        <w:t>对队伍稳定、组织活跃、专业素养高的体育社会组织给予场地、培训等支持。通过政府购买服务等方式支持体育社会组织发展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（责任单位：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县教科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局、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县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民政局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，各镇人民政府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38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推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进健身人群协调发展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楷体" w:eastAsia="仿宋_GB2312"/>
          <w:sz w:val="32"/>
          <w:szCs w:val="32"/>
        </w:rPr>
        <w:t>进一步落实《学校体育工作条例》和《关于全面加强和改进新时代学校体育工作的意见》，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扎实推进青少年体育“健康包”工程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，针对青少年近视、肥胖等问题进行体育干预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楷体" w:eastAsia="仿宋_GB2312"/>
          <w:sz w:val="32"/>
          <w:szCs w:val="32"/>
        </w:rPr>
        <w:t>开齐开足上好体育课，确保学生每天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楷体" w:eastAsia="仿宋_GB2312"/>
          <w:sz w:val="32"/>
          <w:szCs w:val="32"/>
        </w:rPr>
        <w:t>小时校园体育活动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，帮助</w:t>
      </w:r>
      <w:r>
        <w:rPr>
          <w:rFonts w:hint="eastAsia" w:ascii="仿宋_GB2312" w:hAnsi="楷体" w:eastAsia="仿宋_GB2312"/>
          <w:sz w:val="32"/>
          <w:szCs w:val="32"/>
        </w:rPr>
        <w:t>学生掌握</w:t>
      </w:r>
      <w:r>
        <w:rPr>
          <w:rFonts w:ascii="仿宋_GB2312" w:hAnsi="楷体" w:eastAsia="仿宋_GB2312"/>
          <w:sz w:val="32"/>
          <w:szCs w:val="32"/>
        </w:rPr>
        <w:t>1</w:t>
      </w:r>
      <w:r>
        <w:rPr>
          <w:rFonts w:hint="eastAsia" w:ascii="仿宋_GB2312" w:hAnsi="楷体" w:eastAsia="仿宋_GB2312"/>
          <w:sz w:val="32"/>
          <w:szCs w:val="32"/>
        </w:rPr>
        <w:t>至</w:t>
      </w:r>
      <w:r>
        <w:rPr>
          <w:rFonts w:ascii="仿宋_GB2312" w:hAnsi="楷体" w:eastAsia="仿宋_GB2312"/>
          <w:sz w:val="32"/>
          <w:szCs w:val="32"/>
        </w:rPr>
        <w:t>2</w:t>
      </w:r>
      <w:r>
        <w:rPr>
          <w:rFonts w:hint="eastAsia" w:ascii="仿宋_GB2312" w:hAnsi="楷体" w:eastAsia="仿宋_GB2312"/>
          <w:sz w:val="32"/>
          <w:szCs w:val="32"/>
        </w:rPr>
        <w:t>项运动技能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逐步完善“健康知识+基本运动技能+专项运动</w:t>
      </w:r>
      <w:r>
        <w:rPr>
          <w:rFonts w:hint="eastAsia" w:ascii="仿宋_GB2312" w:hAnsi="楷体" w:eastAsia="仿宋_GB2312"/>
          <w:sz w:val="32"/>
          <w:szCs w:val="32"/>
        </w:rPr>
        <w:t>技能”的学校体育教学模式。逐步配齐配强体育教师，不断改善场地设施，帮助学生在体育锻炼中享受乐趣、增强体质、健全人格、锤炼意志。推广适合老年人的体育健身项目，加强老年人科学健身指导，组织开展老年人健身大会、重阳节健身展演、双十一健步走等老年健身活动。完善公共健身设施无障碍环境，为残疾人健身提供更为便捷的服务。推动农民、妇女等人群健身活动开展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（责任单位：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县教科局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县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总工会、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团县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委、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县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妇联、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县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残联，各镇人民政府）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38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（六）推动体育产业提质增效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楷体" w:eastAsia="仿宋_GB2312"/>
          <w:sz w:val="32"/>
          <w:szCs w:val="32"/>
        </w:rPr>
        <w:t>打造体育竞赛、健身休闲、培训指导、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场馆服务</w:t>
      </w:r>
      <w:r>
        <w:rPr>
          <w:rFonts w:hint="eastAsia" w:ascii="仿宋_GB2312" w:hAnsi="楷体" w:eastAsia="仿宋_GB2312"/>
          <w:sz w:val="32"/>
          <w:szCs w:val="32"/>
        </w:rPr>
        <w:t>为一体的现代城市体育综合体。发展运动项目产业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，促进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西河镇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户外、水上等产业发展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楷体" w:eastAsia="仿宋_GB2312"/>
          <w:sz w:val="32"/>
          <w:szCs w:val="32"/>
        </w:rPr>
        <w:t>扩大体育消费，积极培育彰显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平利</w:t>
      </w:r>
      <w:r>
        <w:rPr>
          <w:rFonts w:hint="eastAsia" w:ascii="仿宋_GB2312" w:hAnsi="楷体" w:eastAsia="仿宋_GB2312"/>
          <w:sz w:val="32"/>
          <w:szCs w:val="32"/>
        </w:rPr>
        <w:t>自然特色的赛事活动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，通过各类赛事活动拉动节假日消费和夜间经济</w:t>
      </w:r>
      <w:r>
        <w:rPr>
          <w:rFonts w:hint="eastAsia" w:ascii="仿宋_GB2312" w:hAnsi="楷体" w:eastAsia="仿宋_GB2312"/>
          <w:sz w:val="32"/>
          <w:szCs w:val="32"/>
        </w:rPr>
        <w:t>。培育市场主体，支持本土体育企业做大做强，加大休闲健身、赛事服务、服装制造等市场供给，促进体育消费提质扩容。加强责任彩票、公益彩票建设，推动体育彩票持续健康发展</w:t>
      </w: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责任单位：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县教科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局、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县发改局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县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财政局、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县经贸局、县文旅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局，各镇人民政府）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38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（七）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强化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全民健身融合发展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进一步健全和规范青少年体育赛事活动体系。继续开展校园篮球、足球、乒乓球和中小学生田径运动会等大型赛事活动，完善和推动“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县—镇—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校”三级选拔性竞赛体系。推动国家级青少年校园足球、篮球、排球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、武术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等体育特色传统学校创建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规范青少年体育社会组织建设，支持青少年体育俱乐部健康发展。</w:t>
      </w:r>
      <w:r>
        <w:rPr>
          <w:rFonts w:hint="eastAsia" w:ascii="仿宋_GB2312" w:hAnsi="楷体" w:eastAsia="仿宋_GB2312"/>
          <w:sz w:val="32"/>
          <w:szCs w:val="32"/>
        </w:rPr>
        <w:t>用好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平利</w:t>
      </w:r>
      <w:r>
        <w:rPr>
          <w:rFonts w:hint="eastAsia" w:ascii="仿宋_GB2312" w:hAnsi="楷体" w:eastAsia="仿宋_GB2312"/>
          <w:sz w:val="32"/>
          <w:szCs w:val="32"/>
        </w:rPr>
        <w:t>山水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资源</w:t>
      </w:r>
      <w:r>
        <w:rPr>
          <w:rFonts w:hint="eastAsia" w:ascii="仿宋_GB2312" w:hAnsi="楷体" w:eastAsia="仿宋_GB2312"/>
          <w:sz w:val="32"/>
          <w:szCs w:val="32"/>
        </w:rPr>
        <w:t>禀赋，稳步发展漂流、定向越野、自行车等户外运动项目，拓展体育旅游产品和服务供给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，精心</w:t>
      </w:r>
      <w:r>
        <w:rPr>
          <w:rFonts w:hint="eastAsia" w:ascii="仿宋_GB2312" w:hAnsi="楷体" w:eastAsia="仿宋_GB2312"/>
          <w:sz w:val="32"/>
          <w:szCs w:val="32"/>
        </w:rPr>
        <w:t>打造体育旅游精品线路和精品赛事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。充分</w:t>
      </w:r>
      <w:r>
        <w:rPr>
          <w:rFonts w:hint="eastAsia" w:ascii="仿宋_GB2312" w:hAnsi="楷体" w:eastAsia="仿宋_GB2312"/>
          <w:sz w:val="32"/>
          <w:szCs w:val="32"/>
        </w:rPr>
        <w:t>发挥全民科学健身在健康促进和慢性病预防等方面的积极作用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楷体" w:eastAsia="仿宋_GB2312"/>
          <w:sz w:val="32"/>
          <w:szCs w:val="32"/>
        </w:rPr>
        <w:t>探索建立体育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sz w:val="32"/>
          <w:szCs w:val="32"/>
        </w:rPr>
        <w:t>卫健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、工会</w:t>
      </w:r>
      <w:r>
        <w:rPr>
          <w:rFonts w:hint="eastAsia" w:ascii="仿宋_GB2312" w:hAnsi="楷体" w:eastAsia="仿宋_GB2312"/>
          <w:sz w:val="32"/>
          <w:szCs w:val="32"/>
        </w:rPr>
        <w:t>等部门协同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楷体" w:eastAsia="仿宋_GB2312"/>
          <w:sz w:val="32"/>
          <w:szCs w:val="32"/>
        </w:rPr>
        <w:t>全社会共同参与的运动促进健康模式。鼓励</w:t>
      </w:r>
      <w:r>
        <w:rPr>
          <w:rFonts w:hint="eastAsia" w:ascii="仿宋_GB2312" w:eastAsia="仿宋_GB2312"/>
          <w:color w:val="000000"/>
          <w:sz w:val="32"/>
          <w:szCs w:val="32"/>
        </w:rPr>
        <w:t>引导医疗人才参与社会体育指导服务，发挥医生对群众参与科学健身的推荐、咨询和指导作用，</w:t>
      </w:r>
      <w:r>
        <w:rPr>
          <w:rFonts w:hint="eastAsia" w:ascii="仿宋_GB2312" w:hAnsi="楷体" w:eastAsia="仿宋_GB2312"/>
          <w:sz w:val="32"/>
          <w:szCs w:val="32"/>
        </w:rPr>
        <w:t>促进运动医学和康复医学融合发展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（责任单位：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县教科局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县文旅局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县卫健局、县总工会，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各镇人民政府）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38" w:firstLineChars="200"/>
        <w:jc w:val="both"/>
        <w:textAlignment w:val="auto"/>
        <w:outlineLvl w:val="1"/>
        <w:rPr>
          <w:rFonts w:hint="eastAsia" w:ascii="仿宋_GB2312" w:hAnsi="楷体" w:eastAsia="楷体_GB2312"/>
          <w:b w:val="0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（八）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营造全民健身良好氛围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设立</w:t>
      </w:r>
      <w:r>
        <w:rPr>
          <w:rFonts w:hint="eastAsia" w:ascii="仿宋_GB2312" w:hAnsi="楷体" w:eastAsia="仿宋_GB2312"/>
          <w:sz w:val="32"/>
          <w:szCs w:val="32"/>
        </w:rPr>
        <w:t>全民健身宣传专栏，加大报纸、广播、电视等传统媒体和新媒体平台宣传力度，普及全民健身文化，讲好群众健身故事，大力弘扬自强不息、奋勇争先的体育精神。开展全民健身志愿服务，组建科学健身指导巡讲团，深入机关、企事业单位、学校、社区进行科学健身指导。积极开展全民健身示范创建工作，树立全民健身榜样，发挥引领示范作用。加强对民间、民俗、民族体育的挖掘和保护，做好龙舟、武术、围棋等中华传统体育项目的传承和推广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（责任单位：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县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委宣传部、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县文旅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局、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县教科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局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各镇人民政府）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rPr>
          <w:rFonts w:hint="eastAsia" w:ascii="黑体" w:hAnsi="黑体" w:eastAsia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四、保障措施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发挥议事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机构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职能。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发挥全民健身工作议事协调机构作用，</w:t>
      </w:r>
      <w:r>
        <w:rPr>
          <w:rFonts w:hint="eastAsia" w:ascii="仿宋_GB2312" w:hAnsi="楷体" w:eastAsia="仿宋_GB2312"/>
          <w:color w:val="auto"/>
          <w:sz w:val="32"/>
          <w:szCs w:val="32"/>
          <w:lang w:eastAsia="zh-CN"/>
        </w:rPr>
        <w:t>定期研究全县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全民健身工作</w:t>
      </w:r>
      <w:r>
        <w:rPr>
          <w:rFonts w:hint="eastAsia" w:ascii="仿宋_GB2312" w:hAnsi="楷体" w:eastAsia="仿宋_GB2312"/>
          <w:color w:val="auto"/>
          <w:sz w:val="32"/>
          <w:szCs w:val="32"/>
          <w:lang w:eastAsia="zh-CN"/>
        </w:rPr>
        <w:t>中的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重难点问题，推动全民健身实施计划</w:t>
      </w:r>
      <w:r>
        <w:rPr>
          <w:rFonts w:hint="eastAsia" w:ascii="仿宋_GB2312" w:hAnsi="楷体" w:eastAsia="仿宋_GB2312"/>
          <w:color w:val="auto"/>
          <w:sz w:val="32"/>
          <w:szCs w:val="32"/>
          <w:lang w:eastAsia="zh-CN"/>
        </w:rPr>
        <w:t>落地落细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。</w:t>
      </w:r>
      <w:r>
        <w:rPr>
          <w:rFonts w:hint="eastAsia" w:ascii="仿宋_GB2312" w:hAnsi="楷体" w:eastAsia="仿宋_GB2312"/>
          <w:color w:val="auto"/>
          <w:sz w:val="32"/>
          <w:szCs w:val="32"/>
          <w:lang w:eastAsia="zh-CN"/>
        </w:rPr>
        <w:t>全面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落实</w:t>
      </w:r>
      <w:r>
        <w:rPr>
          <w:rFonts w:hint="eastAsia" w:ascii="仿宋_GB2312" w:hAnsi="楷体" w:eastAsia="仿宋_GB2312"/>
          <w:color w:val="auto"/>
          <w:sz w:val="32"/>
          <w:szCs w:val="32"/>
          <w:lang w:eastAsia="zh-CN"/>
        </w:rPr>
        <w:t>国家和省市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关于全民健身的政策措施要求，全力保障全民健身事业</w:t>
      </w:r>
      <w:r>
        <w:rPr>
          <w:rFonts w:hint="eastAsia" w:ascii="仿宋_GB2312" w:hAnsi="楷体" w:eastAsia="仿宋_GB2312"/>
          <w:color w:val="auto"/>
          <w:sz w:val="32"/>
          <w:szCs w:val="32"/>
          <w:lang w:eastAsia="zh-CN"/>
        </w:rPr>
        <w:t>健康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发展。</w:t>
      </w:r>
      <w:r>
        <w:rPr>
          <w:rFonts w:hint="eastAsia" w:ascii="仿宋_GB2312" w:hAnsi="楷体" w:eastAsia="仿宋_GB2312"/>
          <w:color w:val="auto"/>
          <w:sz w:val="32"/>
          <w:szCs w:val="32"/>
          <w:lang w:eastAsia="zh-CN"/>
        </w:rPr>
        <w:t>对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做出突出贡献的组织和个人</w:t>
      </w:r>
      <w:r>
        <w:rPr>
          <w:rFonts w:hint="eastAsia" w:ascii="仿宋_GB2312" w:hAnsi="楷体" w:eastAsia="仿宋_GB2312"/>
          <w:color w:val="auto"/>
          <w:sz w:val="32"/>
          <w:szCs w:val="32"/>
          <w:lang w:eastAsia="zh-CN"/>
        </w:rPr>
        <w:t>积极上报，并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按照有关规定给予表彰奖励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健全政策保障措施。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县教科局负责</w:t>
      </w:r>
      <w:r>
        <w:rPr>
          <w:rFonts w:hint="eastAsia" w:ascii="仿宋_GB2312" w:hAnsi="楷体" w:eastAsia="仿宋_GB2312"/>
          <w:sz w:val="32"/>
          <w:szCs w:val="32"/>
        </w:rPr>
        <w:t>牵头做好实施计划的落实工作，推进构建更高水平的全民健身公共服务体系；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县发改局负责</w:t>
      </w:r>
      <w:r>
        <w:rPr>
          <w:rFonts w:hint="eastAsia" w:ascii="仿宋_GB2312" w:hAnsi="楷体" w:eastAsia="仿宋_GB2312"/>
          <w:sz w:val="32"/>
          <w:szCs w:val="32"/>
        </w:rPr>
        <w:t>将体育事业发展纳入经济社会发展规划，在项目上给予支持；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县财政局负责</w:t>
      </w:r>
      <w:r>
        <w:rPr>
          <w:rFonts w:hint="eastAsia" w:ascii="仿宋_GB2312" w:hAnsi="楷体" w:eastAsia="仿宋_GB2312"/>
          <w:sz w:val="32"/>
          <w:szCs w:val="32"/>
        </w:rPr>
        <w:t>建立公共财政全民健身投入稳定增长机制，将全民健身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工作</w:t>
      </w:r>
      <w:r>
        <w:rPr>
          <w:rFonts w:hint="eastAsia" w:ascii="仿宋_GB2312" w:hAnsi="楷体" w:eastAsia="仿宋_GB2312"/>
          <w:sz w:val="32"/>
          <w:szCs w:val="32"/>
        </w:rPr>
        <w:t>经费列入财政预算；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县住建局负责</w:t>
      </w:r>
      <w:r>
        <w:rPr>
          <w:rFonts w:hint="eastAsia" w:ascii="仿宋_GB2312" w:hAnsi="楷体" w:eastAsia="仿宋_GB2312"/>
          <w:sz w:val="32"/>
          <w:szCs w:val="32"/>
        </w:rPr>
        <w:t>严格按照全民健身场地设施配建标准，因地制宜推进健身场地设施建设；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县自然资源局负责</w:t>
      </w:r>
      <w:r>
        <w:rPr>
          <w:rFonts w:hint="eastAsia" w:ascii="仿宋_GB2312" w:hAnsi="楷体" w:eastAsia="仿宋_GB2312"/>
          <w:sz w:val="32"/>
          <w:szCs w:val="32"/>
        </w:rPr>
        <w:t>将体育发展纳入城乡发展规划，将体育发展所需用地纳入国土空间总体规划和年度用地计划，统筹考虑全民健身场地设施用地需求，做到优先用地、优先审批、应保尽保。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各镇和</w:t>
      </w:r>
      <w:r>
        <w:rPr>
          <w:rFonts w:hint="eastAsia" w:ascii="仿宋_GB2312" w:hAnsi="楷体" w:eastAsia="仿宋_GB2312"/>
          <w:sz w:val="32"/>
          <w:szCs w:val="32"/>
        </w:rPr>
        <w:t>其他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相关</w:t>
      </w:r>
      <w:r>
        <w:rPr>
          <w:rFonts w:hint="eastAsia" w:ascii="仿宋_GB2312" w:hAnsi="楷体" w:eastAsia="仿宋_GB2312"/>
          <w:sz w:val="32"/>
          <w:szCs w:val="32"/>
        </w:rPr>
        <w:t>部门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要</w:t>
      </w:r>
      <w:r>
        <w:rPr>
          <w:rFonts w:hint="eastAsia" w:ascii="仿宋_GB2312" w:hAnsi="楷体" w:eastAsia="仿宋_GB2312"/>
          <w:sz w:val="32"/>
          <w:szCs w:val="32"/>
        </w:rPr>
        <w:t>按照各自职责，协同做好全民健身事业发展的政策支持、服务和保障工作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outlineLvl w:val="1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（三）落实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相关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安全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责任。</w:t>
      </w:r>
      <w:r>
        <w:rPr>
          <w:rFonts w:hint="eastAsia" w:ascii="仿宋_GB2312" w:hAnsi="楷体" w:eastAsia="仿宋_GB2312"/>
          <w:sz w:val="32"/>
          <w:szCs w:val="32"/>
        </w:rPr>
        <w:t>对各类健身设施的安全运行加强监管，鼓励在公共体育场馆配置急救设备，加强日常管理和排查，确保各类公共体育设施开放服务达到防疫、消防、应急、疏散安全标准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，无</w:t>
      </w:r>
      <w:r>
        <w:rPr>
          <w:rFonts w:hint="eastAsia" w:ascii="仿宋_GB2312" w:hAnsi="楷体" w:eastAsia="仿宋_GB2312"/>
          <w:sz w:val="32"/>
          <w:szCs w:val="32"/>
        </w:rPr>
        <w:t>安全事故隐患。建立全民健身赛事活动安全防范、应急保障机制，分级分类落实赛事活动监管责任，提高安全管理能力。按照谁举办、谁负责、谁编制的原则，重点落实好路跑赛事风险评估工作，严格执行特殊情况熔断机制，确保安全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万无一失</w:t>
      </w:r>
      <w:r>
        <w:rPr>
          <w:rFonts w:hint="eastAsia" w:ascii="仿宋_GB2312" w:hAnsi="楷体" w:eastAsia="仿宋_GB2312"/>
          <w:sz w:val="32"/>
          <w:szCs w:val="32"/>
        </w:rPr>
        <w:t>。压紧压实“四方”责任，落细落实常态化疫情防控措施，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严格</w:t>
      </w:r>
      <w:r>
        <w:rPr>
          <w:rFonts w:hint="eastAsia" w:ascii="仿宋_GB2312" w:hAnsi="楷体" w:eastAsia="仿宋_GB2312"/>
          <w:sz w:val="32"/>
          <w:szCs w:val="32"/>
        </w:rPr>
        <w:t>做好场馆开放、赛事活动疫情防控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工作</w:t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outlineLvl w:val="1"/>
        <w:rPr>
          <w:rFonts w:hint="eastAsia" w:ascii="仿宋_GB2312" w:hAnsi="楷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1.县、镇、村公共体育设施配置标准；</w:t>
      </w:r>
    </w:p>
    <w:p>
      <w:pPr>
        <w:pStyle w:val="5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</w:pPr>
      <w:bookmarkStart w:id="12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平利县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“十四五”全民健身场地设施补短板工程任务分解表</w:t>
      </w:r>
      <w:bookmarkEnd w:id="12"/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after="0" w:line="500" w:lineRule="exact"/>
        <w:jc w:val="left"/>
        <w:textAlignment w:val="auto"/>
        <w:rPr>
          <w:rFonts w:hint="eastAsia" w:ascii="仿宋_GB2312" w:eastAsia="仿宋_GB2312"/>
          <w:spacing w:val="2"/>
          <w:sz w:val="28"/>
          <w:szCs w:val="28"/>
          <w:u w:val="single"/>
        </w:rPr>
      </w:pPr>
      <w:r>
        <w:rPr>
          <w:rFonts w:hint="eastAsia" w:ascii="仿宋_GB2312" w:eastAsia="仿宋_GB2312"/>
          <w:spacing w:val="2"/>
          <w:sz w:val="28"/>
          <w:szCs w:val="28"/>
          <w:u w:val="single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after="0" w:line="500" w:lineRule="exact"/>
        <w:ind w:firstLine="279" w:firstLineChars="100"/>
        <w:jc w:val="lef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抄送：县委各部门，县人大办、政协办，县纪委办，县人武部，县法院、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after="0" w:line="500" w:lineRule="exact"/>
        <w:jc w:val="left"/>
        <w:textAlignment w:val="auto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检察院，各人民团体，中央和省市驻平各单位。              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 平利县人民政府办公室                        2022年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shd w:val="clear" w:color="auto" w:fill="FFFFFF"/>
        </w:rPr>
        <w:t>日印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shd w:val="clear" w:color="auto" w:fill="FFFFFF"/>
          <w:lang w:eastAsia="zh-CN"/>
        </w:rPr>
        <w:t>发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page"/>
      </w:r>
    </w:p>
    <w:p>
      <w:pPr>
        <w:pStyle w:val="5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textAlignment w:val="auto"/>
        <w:rPr>
          <w:rFonts w:hint="eastAsia" w:ascii="新宋体" w:hAnsi="新宋体" w:eastAsia="新宋体" w:cs="新宋体"/>
          <w:b w:val="0"/>
          <w:bCs w:val="0"/>
          <w:color w:val="auto"/>
          <w:sz w:val="28"/>
          <w:szCs w:val="28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</w:rPr>
        <w:t>附件1</w:t>
      </w:r>
    </w:p>
    <w:p>
      <w:pPr>
        <w:pStyle w:val="5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县、镇、村公共体育设施配置标准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县级“七个一”标准</w:t>
      </w:r>
    </w:p>
    <w:p>
      <w:pPr>
        <w:pStyle w:val="5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建成一个体育场、一个体育馆、一个县级全民健身活动中心（室内、室外体育场地总面积不低于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平方米，其中室内体育场地面积不低于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平方米）、一个游泳馆（室内游泳池）、一个国民体质监测站、一个体育公园、一批健身步道（总里程不低于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千米）。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镇级“三个一”标准</w:t>
      </w:r>
    </w:p>
    <w:p>
      <w:pPr>
        <w:pStyle w:val="5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各乡镇配备一个带看台的灯光篮球场或社区全民健身活动中心（室内、室外体育场地总面积不低于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平方米，其中室内体育场地面积不低于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平方米）或多功能运动场地、一个小型室内健身房或室内多功能活动室、一套健身器材。</w:t>
      </w:r>
    </w:p>
    <w:p>
      <w:pPr>
        <w:pStyle w:val="5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村级“三个一”标准</w:t>
      </w:r>
    </w:p>
    <w:p>
      <w:pPr>
        <w:pStyle w:val="5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38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每个行政村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社区）</w:t>
      </w:r>
      <w:r>
        <w:rPr>
          <w:rFonts w:hint="eastAsia" w:ascii="仿宋_GB2312" w:eastAsia="仿宋_GB2312"/>
          <w:color w:val="auto"/>
          <w:sz w:val="32"/>
          <w:szCs w:val="32"/>
        </w:rPr>
        <w:t>配备一个室外篮球场、一个室内多功能活动室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</w:rPr>
        <w:t>乒乓球或棋牌室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、一套健身器材。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rPr>
          <w:rFonts w:hint="default"/>
          <w:lang w:val="en-US" w:eastAsia="zh-CN"/>
        </w:rPr>
        <w:sectPr>
          <w:footerReference r:id="rId6" w:type="first"/>
          <w:footerReference r:id="rId4" w:type="default"/>
          <w:footerReference r:id="rId5" w:type="even"/>
          <w:pgSz w:w="11906" w:h="16838"/>
          <w:pgMar w:top="2098" w:right="1474" w:bottom="1984" w:left="1587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08" w:num="1"/>
          <w:titlePg/>
          <w:docGrid w:type="linesAndChars" w:linePitch="360" w:charSpace="-310"/>
        </w:sectPr>
      </w:pPr>
    </w:p>
    <w:tbl>
      <w:tblPr>
        <w:tblStyle w:val="6"/>
        <w:tblW w:w="1430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260"/>
        <w:gridCol w:w="1428"/>
        <w:gridCol w:w="1536"/>
        <w:gridCol w:w="2172"/>
        <w:gridCol w:w="1560"/>
        <w:gridCol w:w="1260"/>
        <w:gridCol w:w="1440"/>
        <w:gridCol w:w="2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280" w:hRule="atLeast"/>
        </w:trPr>
        <w:tc>
          <w:tcPr>
            <w:tcW w:w="14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平利县“十四五”全民健身场地设施补短板工程任务分解表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指标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新建健身步道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新建社会足球场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新建户外运动公共服务设施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体育系统汉江健身步道、户外健身步道六大重点工程新增体育场地面积（万平方米）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教育系统新增场地面积（万平方米）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组织全民健身赛事活动场次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经常参加体育锻炼人数（万人）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城乡居民达到《国民体质测定标准》合格以上的人数比例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8.32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8.38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91.20%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rPr>
          <w:rFonts w:hint="default"/>
          <w:lang w:val="en-US" w:eastAsia="zh-CN"/>
        </w:rPr>
      </w:pPr>
    </w:p>
    <w:sectPr>
      <w:pgSz w:w="16838" w:h="11906" w:orient="landscape"/>
      <w:pgMar w:top="1701" w:right="1928" w:bottom="1247" w:left="1701" w:header="851" w:footer="1418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titlePg/>
      <w:docGrid w:type="linesAndChars" w:linePitch="360" w:charSpace="-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/>
      <w:ind w:right="360" w:firstLine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30" w:leftChars="150" w:right="330" w:rightChars="15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- 2 -</w:t>
    </w:r>
    <w:r>
      <w:rPr>
        <w:rStyle w:val="8"/>
        <w:rFonts w:ascii="宋体" w:hAnsi="宋体" w:eastAsia="宋体"/>
        <w:sz w:val="28"/>
        <w:szCs w:val="28"/>
      </w:rPr>
      <w:fldChar w:fldCharType="end"/>
    </w:r>
  </w:p>
  <w:p>
    <w:pPr>
      <w:pStyle w:val="2"/>
      <w:spacing w:after="0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MmQ5MzY5NGRjYzRiOGRhMzU4M2ZiZjI2OTkwYjEifQ=="/>
  </w:docVars>
  <w:rsids>
    <w:rsidRoot w:val="00172A27"/>
    <w:rsid w:val="00F206DA"/>
    <w:rsid w:val="00F431B9"/>
    <w:rsid w:val="0224103F"/>
    <w:rsid w:val="02287B4F"/>
    <w:rsid w:val="03703AFD"/>
    <w:rsid w:val="03A62B5C"/>
    <w:rsid w:val="0549153F"/>
    <w:rsid w:val="058A6CC4"/>
    <w:rsid w:val="05A131E3"/>
    <w:rsid w:val="07C82903"/>
    <w:rsid w:val="081B727D"/>
    <w:rsid w:val="09925958"/>
    <w:rsid w:val="09E57A38"/>
    <w:rsid w:val="09FE6E56"/>
    <w:rsid w:val="0C625CD5"/>
    <w:rsid w:val="0CF564D9"/>
    <w:rsid w:val="0D5E7F88"/>
    <w:rsid w:val="0E8B0EAB"/>
    <w:rsid w:val="0F672421"/>
    <w:rsid w:val="109B2025"/>
    <w:rsid w:val="111A1A2D"/>
    <w:rsid w:val="13257202"/>
    <w:rsid w:val="134553BD"/>
    <w:rsid w:val="13DD02D5"/>
    <w:rsid w:val="14360ED5"/>
    <w:rsid w:val="15DC724A"/>
    <w:rsid w:val="16053C2D"/>
    <w:rsid w:val="16227A29"/>
    <w:rsid w:val="18F338FE"/>
    <w:rsid w:val="1911708A"/>
    <w:rsid w:val="1BCF41AF"/>
    <w:rsid w:val="1DE61FD3"/>
    <w:rsid w:val="1DFA5DA1"/>
    <w:rsid w:val="1FC773CD"/>
    <w:rsid w:val="20847077"/>
    <w:rsid w:val="20A720EA"/>
    <w:rsid w:val="20C242E2"/>
    <w:rsid w:val="20F879C0"/>
    <w:rsid w:val="213C22E6"/>
    <w:rsid w:val="22532827"/>
    <w:rsid w:val="25250C42"/>
    <w:rsid w:val="25803E00"/>
    <w:rsid w:val="27F70BE5"/>
    <w:rsid w:val="29195240"/>
    <w:rsid w:val="2AC26AA9"/>
    <w:rsid w:val="2EE20741"/>
    <w:rsid w:val="306058C5"/>
    <w:rsid w:val="32990C1B"/>
    <w:rsid w:val="33043CEF"/>
    <w:rsid w:val="34A246FE"/>
    <w:rsid w:val="34F760B4"/>
    <w:rsid w:val="35026F4B"/>
    <w:rsid w:val="37841121"/>
    <w:rsid w:val="37E666B0"/>
    <w:rsid w:val="38735E4D"/>
    <w:rsid w:val="38DD7AB3"/>
    <w:rsid w:val="39BB6351"/>
    <w:rsid w:val="3A7E225F"/>
    <w:rsid w:val="3B4B0763"/>
    <w:rsid w:val="3B59763B"/>
    <w:rsid w:val="3B7A783B"/>
    <w:rsid w:val="3B871E24"/>
    <w:rsid w:val="3C5067EE"/>
    <w:rsid w:val="3DED69EA"/>
    <w:rsid w:val="408828BA"/>
    <w:rsid w:val="41032081"/>
    <w:rsid w:val="423821FE"/>
    <w:rsid w:val="428D6C5F"/>
    <w:rsid w:val="43B9111D"/>
    <w:rsid w:val="43E5575D"/>
    <w:rsid w:val="445826E4"/>
    <w:rsid w:val="448568C2"/>
    <w:rsid w:val="44B23013"/>
    <w:rsid w:val="462366EE"/>
    <w:rsid w:val="46310FCF"/>
    <w:rsid w:val="475E0A25"/>
    <w:rsid w:val="481608EC"/>
    <w:rsid w:val="483F12A6"/>
    <w:rsid w:val="48435459"/>
    <w:rsid w:val="4B5440CD"/>
    <w:rsid w:val="4E5D407A"/>
    <w:rsid w:val="4EFF657E"/>
    <w:rsid w:val="4F74524A"/>
    <w:rsid w:val="50C3182D"/>
    <w:rsid w:val="5137418F"/>
    <w:rsid w:val="51D20510"/>
    <w:rsid w:val="52A04FFB"/>
    <w:rsid w:val="537B63EF"/>
    <w:rsid w:val="53AF6C81"/>
    <w:rsid w:val="5440567D"/>
    <w:rsid w:val="562A2F1D"/>
    <w:rsid w:val="57A22C31"/>
    <w:rsid w:val="586812EB"/>
    <w:rsid w:val="5AFF7905"/>
    <w:rsid w:val="5D064DFA"/>
    <w:rsid w:val="5D086F45"/>
    <w:rsid w:val="5D487342"/>
    <w:rsid w:val="5D577585"/>
    <w:rsid w:val="5D810AA5"/>
    <w:rsid w:val="5F2A76F3"/>
    <w:rsid w:val="5F320BC8"/>
    <w:rsid w:val="60335542"/>
    <w:rsid w:val="60F935FF"/>
    <w:rsid w:val="614B7400"/>
    <w:rsid w:val="61A74CBE"/>
    <w:rsid w:val="61BF27A1"/>
    <w:rsid w:val="621E7315"/>
    <w:rsid w:val="625E7607"/>
    <w:rsid w:val="62932486"/>
    <w:rsid w:val="62C36AFE"/>
    <w:rsid w:val="64E831AA"/>
    <w:rsid w:val="65A15A55"/>
    <w:rsid w:val="65A41B36"/>
    <w:rsid w:val="665723A3"/>
    <w:rsid w:val="69652679"/>
    <w:rsid w:val="6A3A4978"/>
    <w:rsid w:val="6B60464C"/>
    <w:rsid w:val="6C3239EE"/>
    <w:rsid w:val="6D1470BC"/>
    <w:rsid w:val="6E073B29"/>
    <w:rsid w:val="6EC250F3"/>
    <w:rsid w:val="6EC801F1"/>
    <w:rsid w:val="6F39518C"/>
    <w:rsid w:val="71AC5BAF"/>
    <w:rsid w:val="73E6633E"/>
    <w:rsid w:val="7593476F"/>
    <w:rsid w:val="75E33C54"/>
    <w:rsid w:val="78375DC4"/>
    <w:rsid w:val="785A466B"/>
    <w:rsid w:val="78BE2756"/>
    <w:rsid w:val="798A0C85"/>
    <w:rsid w:val="7A335603"/>
    <w:rsid w:val="7A9E4CC6"/>
    <w:rsid w:val="7C144E7D"/>
    <w:rsid w:val="7C344AC4"/>
    <w:rsid w:val="7C484810"/>
    <w:rsid w:val="7D2F34CF"/>
    <w:rsid w:val="7DFE760C"/>
    <w:rsid w:val="7F1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7"/>
    <w:basedOn w:val="1"/>
    <w:next w:val="1"/>
    <w:qFormat/>
    <w:uiPriority w:val="0"/>
    <w:pPr>
      <w:ind w:left="1200" w:leftChars="1200"/>
    </w:pPr>
  </w:style>
  <w:style w:type="paragraph" w:styleId="5">
    <w:name w:val="Normal (Web)"/>
    <w:basedOn w:val="1"/>
    <w:semiHidden/>
    <w:qFormat/>
    <w:uiPriority w:val="0"/>
    <w:pPr>
      <w:jc w:val="left"/>
    </w:pPr>
    <w:rPr>
      <w:rFonts w:ascii="Calibri" w:hAnsi="Calibri" w:eastAsia="宋体" w:cs="Times New Roman"/>
      <w:color w:val="2B2B2B"/>
      <w:kern w:val="0"/>
      <w:sz w:val="24"/>
      <w:szCs w:val="22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paragraph" w:customStyle="1" w:styleId="9">
    <w:name w:val="p0"/>
    <w:next w:val="4"/>
    <w:qFormat/>
    <w:uiPriority w:val="0"/>
    <w:rPr>
      <w:rFonts w:ascii="Calibri" w:hAnsi="Calibri" w:eastAsia="宋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4739</Words>
  <Characters>4882</Characters>
  <Lines>0</Lines>
  <Paragraphs>0</Paragraphs>
  <TotalTime>15</TotalTime>
  <ScaleCrop>false</ScaleCrop>
  <LinksUpToDate>false</LinksUpToDate>
  <CharactersWithSpaces>5067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2022-06-14T15:39:00Z</dcterms:created>
  <dc:creator>17519</dc:creator>
  <cp:lastModifiedBy>有女娟娟</cp:lastModifiedBy>
  <cp:lastPrinted>2022-08-04T03:05:00Z</cp:lastPrinted>
  <dcterms:modified xsi:type="dcterms:W3CDTF">2022-08-31T08:18:42Z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0FB7FD5B1C724F759565E79C399FE4B8</vt:lpwstr>
  </property>
</Properties>
</file>