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Style w:val="13"/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Style w:val="13"/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本次检验项目</w:t>
      </w:r>
    </w:p>
    <w:p>
      <w:pPr>
        <w:spacing w:line="420" w:lineRule="exact"/>
        <w:jc w:val="center"/>
        <w:rPr>
          <w:rStyle w:val="13"/>
          <w:rFonts w:ascii="方正小标宋简体" w:hAnsi="方正小标宋简体" w:eastAsia="方正小标宋简体" w:cs="方正小标宋简体"/>
          <w:b w:val="0"/>
          <w:sz w:val="44"/>
          <w:szCs w:val="44"/>
        </w:rPr>
      </w:pPr>
    </w:p>
    <w:p>
      <w:pPr>
        <w:spacing w:line="42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一、餐饮食品</w:t>
      </w:r>
    </w:p>
    <w:p>
      <w:pPr>
        <w:spacing w:line="420" w:lineRule="exact"/>
        <w:ind w:firstLine="64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spacing w:line="420" w:lineRule="exact"/>
        <w:ind w:firstLine="64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为</w:t>
      </w:r>
      <w:r>
        <w:rPr>
          <w:rFonts w:hint="eastAsia" w:ascii="仿宋_GB2312" w:hAnsi="宋体" w:eastAsia="仿宋_GB2312"/>
          <w:sz w:val="32"/>
          <w:szCs w:val="32"/>
        </w:rPr>
        <w:t>GB 2762-2017 《食品安全国家标准 食品中污染物限量》、GB 2760-2014 《食品安全国家标准 食品添加剂使用标准》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、食品整治办【2008】3号</w:t>
      </w:r>
      <w:r>
        <w:rPr>
          <w:rFonts w:hint="eastAsia" w:ascii="仿宋_GB2312" w:hAnsi="宋体" w:eastAsia="仿宋_GB2312"/>
          <w:sz w:val="32"/>
          <w:szCs w:val="32"/>
        </w:rPr>
        <w:t>等标准及产品明示标准和指标的要求。</w:t>
      </w:r>
    </w:p>
    <w:p>
      <w:pPr>
        <w:spacing w:line="420" w:lineRule="exact"/>
        <w:ind w:firstLine="630" w:firstLineChars="196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spacing w:line="42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1.发酵面制品（自制）抽检项目包括苯甲酸及其钠盐（以苯甲酸计）、山梨酸及其钾盐（以山梨酸计）、脱氢乙酸及其钠盐（以脱氢乙酸计）、铝的残留量（干样品，以Al计）、铅（以 Pb 计）。</w:t>
      </w:r>
    </w:p>
    <w:p>
      <w:pPr>
        <w:spacing w:line="42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2.半固态调味品抽检项目包括罂粟碱、吗啡、那可丁、可待因、蒂巴因。</w:t>
      </w:r>
    </w:p>
    <w:p>
      <w:pPr>
        <w:spacing w:line="4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米粉制品(餐饮)</w:t>
      </w:r>
      <w:r>
        <w:rPr>
          <w:rFonts w:hint="eastAsia" w:ascii="仿宋_GB2312" w:hAnsi="宋体" w:eastAsia="仿宋_GB2312"/>
          <w:sz w:val="32"/>
          <w:szCs w:val="32"/>
        </w:rPr>
        <w:t>抽检项目包括山梨酸及其钾盐（以山梨酸计）、苯甲酸及其钠盐(以苯甲酸计)、二氧化硫残留量。</w:t>
      </w:r>
    </w:p>
    <w:p>
      <w:pPr>
        <w:spacing w:line="42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4.生湿面制品抽检项目包括铅（以 Pb 计）、苯甲酸及其钠盐（以苯甲酸计）、山梨酸及其钾盐（以山梨酸计）、脱氢乙酸及其钠盐（以脱氢乙酸计）、糖精钠（以糖精计）。</w:t>
      </w:r>
    </w:p>
    <w:p>
      <w:pPr>
        <w:spacing w:line="42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5.油炸面制品抽检项目包括铝的残留量（干样品，以Al计）。</w:t>
      </w:r>
    </w:p>
    <w:p>
      <w:pPr>
        <w:spacing w:line="42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二、豆制品</w:t>
      </w:r>
    </w:p>
    <w:p>
      <w:pPr>
        <w:spacing w:line="420" w:lineRule="exact"/>
        <w:ind w:firstLine="64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spacing w:line="420" w:lineRule="exact"/>
        <w:ind w:firstLine="642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为</w:t>
      </w:r>
      <w:r>
        <w:rPr>
          <w:rFonts w:hint="eastAsia" w:ascii="仿宋_GB2312" w:hAnsi="宋体" w:eastAsia="仿宋_GB2312"/>
          <w:sz w:val="32"/>
          <w:szCs w:val="32"/>
        </w:rPr>
        <w:t>GB 2760-2014 《食品安全国家标准 食品添加剂使用标准》、GB 2762-2017 《食品安全国家标准 食品中污染物限量》等标准及产品明示标准和指标的要求。</w:t>
      </w:r>
    </w:p>
    <w:p>
      <w:pPr>
        <w:spacing w:line="420" w:lineRule="exact"/>
        <w:ind w:firstLine="630" w:firstLineChars="196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spacing w:line="42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1.非发酵性豆制品的检测项目包括苯甲酸及其钠盐(以苯甲酸计)、山梨酸及其钾盐（以山梨酸计）、脱氢乙酸及其钠盐（以脱氢乙酸计）、铅（以Pb计）。</w:t>
      </w:r>
    </w:p>
    <w:p>
      <w:pPr>
        <w:spacing w:line="42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三、肉制品</w:t>
      </w:r>
    </w:p>
    <w:p>
      <w:pPr>
        <w:spacing w:line="420" w:lineRule="exact"/>
        <w:ind w:firstLine="64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spacing w:line="420" w:lineRule="exact"/>
        <w:ind w:firstLine="642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为</w:t>
      </w:r>
      <w:r>
        <w:rPr>
          <w:rFonts w:hint="eastAsia" w:ascii="仿宋_GB2312" w:hAnsi="宋体" w:eastAsia="仿宋_GB2312"/>
          <w:sz w:val="32"/>
          <w:szCs w:val="32"/>
        </w:rPr>
        <w:t>GB 2760-2014 《食品安全国家标准 食品添加剂使用标准》等标准及产品明示标准和指标的要求。</w:t>
      </w:r>
    </w:p>
    <w:p>
      <w:pPr>
        <w:spacing w:line="420" w:lineRule="exact"/>
        <w:ind w:firstLine="630" w:firstLineChars="196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spacing w:line="42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酱卤肉制品的检测项目包括亚硝酸盐(以亚硝酸钠计)、苯甲酸及其钠盐(以苯甲酸计)、山梨酸及其钾盐(以山梨酸计)、脱氢乙酸及其钠盐(以脱氢乙酸计)、防腐剂混合使用时各自用量占其最大使用量的比例之和。</w:t>
      </w:r>
    </w:p>
    <w:p>
      <w:pPr>
        <w:numPr>
          <w:ilvl w:val="0"/>
          <w:numId w:val="1"/>
        </w:numPr>
        <w:spacing w:line="420" w:lineRule="exact"/>
        <w:ind w:firstLine="64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食用农产品</w:t>
      </w:r>
    </w:p>
    <w:p>
      <w:pPr>
        <w:spacing w:line="420" w:lineRule="exact"/>
        <w:ind w:firstLine="64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spacing w:line="42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抽检依据为GB 31650-2019 《食品安全国家标准 食品中兽药最大残留限量》、农业部公告第 2292 号、整顿办函〔2010〕50 号、农业农村部公告第 250 号、GB 2763-2019《 食品安全国家标准 食品中农药最大残留限量》、GB 2762-2017《食品安全国家标准 食品中污染物限量》、GB 22556-2008《豆芽卫生标准》、国家食品药品监督管理总局　农业部　国家卫生和计划生育委员会关于豆芽生产过程中禁止使用6-苄基腺嘌呤等物质的公告(2015年第11号)等标准及产品明示标准和指标的要求。</w:t>
      </w:r>
    </w:p>
    <w:p>
      <w:pPr>
        <w:spacing w:line="420" w:lineRule="exact"/>
        <w:ind w:firstLine="630" w:firstLineChars="196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spacing w:line="42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1.猪肉的抽检项目包括磺胺类（总量）、氯霉素、克伦特罗、沙丁胺醇、恩诺沙星、氧氟沙星。</w:t>
      </w:r>
    </w:p>
    <w:p>
      <w:pPr>
        <w:spacing w:line="42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2.猪肝的抽检项目包括氧氟沙星、五氯酚酸钠（以五氯酚计）、克伦特罗、诺氟沙星、氯霉素。</w:t>
      </w:r>
    </w:p>
    <w:p>
      <w:pPr>
        <w:spacing w:line="42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3.牛肉的抽检项目包括克伦特罗、地塞米松、恩诺沙星、氯霉素。</w:t>
      </w:r>
    </w:p>
    <w:p>
      <w:pPr>
        <w:spacing w:line="42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4.鸡肉的抽检项目包括甲氧苄啶、恩诺沙星、氧氟沙星、磺胺类（总量）、金刚烷胺、诺氟沙星、氯霉素。</w:t>
      </w:r>
    </w:p>
    <w:p>
      <w:pPr>
        <w:spacing w:line="42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5.淡水鱼的抽检项目包括孔雀石绿、氯霉素、恩诺沙星、氧氟沙星、呋喃唑酮代谢物、地西泮、培氟沙星、诺氟沙星。</w:t>
      </w:r>
    </w:p>
    <w:p>
      <w:pPr>
        <w:spacing w:line="42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6.鸡蛋的抽检项目包括甲硝唑、磺胺类（总量）、氟苯尼考、恩诺沙星、氧氟沙星、氯霉素、诺氟沙星。</w:t>
      </w:r>
    </w:p>
    <w:p>
      <w:pPr>
        <w:spacing w:line="42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7.黄瓜的抽检项目包括克百威、氧乐果、毒死蜱、多菌灵、腐霉利。</w:t>
      </w:r>
    </w:p>
    <w:p>
      <w:pPr>
        <w:spacing w:line="42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8.油麦菜的抽检项目包括氟虫腈、氧乐果、克百威、毒死蜱、甲胺磷。</w:t>
      </w:r>
    </w:p>
    <w:p>
      <w:pPr>
        <w:spacing w:line="42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9.豆芽的抽检项目包括铅（以Pb计）、亚硫酸盐（以SO2计）、6-苄基腺嘌呤（6-BA）、4-氯苯氧乙酸钠（以 4-氯苯氧乙酸计）、镉。</w:t>
      </w:r>
    </w:p>
    <w:p>
      <w:pPr>
        <w:spacing w:line="42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10.菠菜的抽检项目包括阿维菌素、毒死蜱、氟虫腈、氧乐果、克百威、甲基异柳磷。</w:t>
      </w:r>
    </w:p>
    <w:p>
      <w:pPr>
        <w:spacing w:line="42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11.茄子的抽检项目包括镉（以Cd计）、氧乐果、克百威、杀扑磷、甲胺磷、水胺硫磷。</w:t>
      </w:r>
    </w:p>
    <w:p>
      <w:pPr>
        <w:spacing w:line="42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12.芹菜的抽检项目包括毒死蜱、克百威、甲拌磷、氧乐果、氟虫腈、甲基异柳磷、灭多威、甲胺磷。</w:t>
      </w:r>
    </w:p>
    <w:p>
      <w:pPr>
        <w:spacing w:line="42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13.柑橘的检测项目包括丙溴磷、克百威、三唑磷、氧乐果、苯醚甲环唑、多菌灵。</w:t>
      </w:r>
    </w:p>
    <w:p>
      <w:pPr>
        <w:spacing w:line="42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14.苹果的检测项目包括丙溴磷、氧乐果、毒死蜱、甲拌磷、克百威、啶虫脒。</w:t>
      </w:r>
    </w:p>
    <w:p>
      <w:pPr>
        <w:spacing w:line="42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15.橙的检测项目包括丙溴磷、多菌灵、克百威、水胺硫磷、氧乐果。</w:t>
      </w:r>
    </w:p>
    <w:p>
      <w:pPr>
        <w:spacing w:line="42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16.梨的检测项目包括丙溴磷、多菌灵、克百威、水胺硫磷、氧乐果。</w:t>
      </w:r>
    </w:p>
    <w:p>
      <w:pPr>
        <w:spacing w:line="420" w:lineRule="exact"/>
        <w:ind w:firstLine="640" w:firstLineChars="20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17.香蕉的检测项目包括吡虫啉、腈苯唑、苯醚甲环唑、吡唑醚菌酯、对硫磷、多菌灵、辛硫磷。</w:t>
      </w:r>
    </w:p>
    <w:p>
      <w:pPr>
        <w:spacing w:line="42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五、食用油、油脂及其制品</w:t>
      </w:r>
    </w:p>
    <w:p>
      <w:pPr>
        <w:spacing w:line="420" w:lineRule="exact"/>
        <w:ind w:firstLine="64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spacing w:line="420" w:lineRule="exact"/>
        <w:ind w:firstLine="64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为</w:t>
      </w:r>
      <w:r>
        <w:rPr>
          <w:rFonts w:hint="eastAsia" w:ascii="仿宋_GB2312" w:hAnsi="宋体" w:eastAsia="仿宋_GB2312"/>
          <w:sz w:val="32"/>
          <w:szCs w:val="32"/>
        </w:rPr>
        <w:t>GB 2716-2018 《食品安全国家标准 植物油》、GB 2762-2017 《食品安全国家标准 食品中污染物限量》等标准及产品明示标准和指标的要求。</w:t>
      </w:r>
    </w:p>
    <w:p>
      <w:pPr>
        <w:spacing w:line="420" w:lineRule="exact"/>
        <w:ind w:firstLine="630" w:firstLineChars="196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spacing w:line="42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1.菜籽油的抽检项目包括酸值/酸价、过氧化值、铅（以 Pb 计）、苯并[a]芘、总砷(以As计)。</w:t>
      </w:r>
    </w:p>
    <w:p>
      <w:pPr>
        <w:spacing w:line="42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六、蔬菜制品</w:t>
      </w:r>
    </w:p>
    <w:p>
      <w:pPr>
        <w:spacing w:line="420" w:lineRule="exact"/>
        <w:ind w:firstLine="64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spacing w:line="420" w:lineRule="exact"/>
        <w:ind w:firstLine="64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为</w:t>
      </w:r>
      <w:r>
        <w:rPr>
          <w:rFonts w:hint="eastAsia" w:ascii="仿宋_GB2312" w:hAnsi="宋体" w:eastAsia="仿宋_GB2312"/>
          <w:sz w:val="32"/>
          <w:szCs w:val="32"/>
        </w:rPr>
        <w:t>GB 2760-2014 《食品安全国家标准 食品添加剂使用标准》、GB 2762-2017 《食品安全国家标准 食品中污染物限量》等标准及产品明示标准和指标的要求。</w:t>
      </w:r>
    </w:p>
    <w:p>
      <w:pPr>
        <w:spacing w:line="420" w:lineRule="exact"/>
        <w:ind w:firstLine="630" w:firstLineChars="196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spacing w:line="42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1.酱腌菜的抽检项目为铅（以Pb计）、苯甲酸及其钠盐（以苯甲酸计）、山梨酸及其钾盐（以山梨酸计）、糖精钠（以糖精计）、甜蜜素（以环己基胺基磺酸计）、亚硝酸盐(以亚硝酸钠计)。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628435"/>
    <w:multiLevelType w:val="singleLevel"/>
    <w:tmpl w:val="8F62843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646D0"/>
    <w:rsid w:val="01233EBC"/>
    <w:rsid w:val="0A200D02"/>
    <w:rsid w:val="0D36377A"/>
    <w:rsid w:val="0F63018E"/>
    <w:rsid w:val="28807AFA"/>
    <w:rsid w:val="34264B82"/>
    <w:rsid w:val="3EFC1DB9"/>
    <w:rsid w:val="457A727A"/>
    <w:rsid w:val="48B646D0"/>
    <w:rsid w:val="49EA4A6B"/>
    <w:rsid w:val="4BCF2B86"/>
    <w:rsid w:val="4E7350C4"/>
    <w:rsid w:val="56DE4C5E"/>
    <w:rsid w:val="590D24FA"/>
    <w:rsid w:val="6F5369B4"/>
    <w:rsid w:val="6F7E0C74"/>
    <w:rsid w:val="7EDF3EFA"/>
    <w:rsid w:val="7F46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spacing w:line="360" w:lineRule="auto"/>
      <w:ind w:left="0"/>
      <w:jc w:val="center"/>
      <w:outlineLvl w:val="0"/>
    </w:pPr>
    <w:rPr>
      <w:rFonts w:ascii="宋体" w:hAnsi="宋体" w:eastAsia="宋体" w:cs="宋体"/>
      <w:b/>
      <w:bCs/>
      <w:sz w:val="32"/>
      <w:szCs w:val="32"/>
      <w:lang w:val="zh-CN" w:bidi="zh-CN"/>
    </w:rPr>
  </w:style>
  <w:style w:type="paragraph" w:styleId="2">
    <w:name w:val="heading 2"/>
    <w:basedOn w:val="1"/>
    <w:next w:val="1"/>
    <w:link w:val="13"/>
    <w:semiHidden/>
    <w:unhideWhenUsed/>
    <w:qFormat/>
    <w:uiPriority w:val="0"/>
    <w:pPr>
      <w:keepNext/>
      <w:keepLines/>
      <w:spacing w:line="360" w:lineRule="auto"/>
      <w:jc w:val="left"/>
      <w:outlineLvl w:val="1"/>
    </w:pPr>
    <w:rPr>
      <w:rFonts w:eastAsia="宋体" w:asciiTheme="majorAscii" w:hAnsiTheme="majorAscii" w:cstheme="majorBidi"/>
      <w:b/>
      <w:bCs/>
      <w:sz w:val="30"/>
      <w:szCs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line="360" w:lineRule="auto"/>
      <w:jc w:val="left"/>
      <w:outlineLvl w:val="2"/>
    </w:pPr>
    <w:rPr>
      <w:rFonts w:ascii="Times New Roman" w:hAnsi="Times New Roman" w:eastAsia="宋体" w:cs="宋体"/>
      <w:b/>
      <w:bCs/>
      <w:sz w:val="28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 w:afterLines="0" w:afterAutospacing="0"/>
    </w:pPr>
  </w:style>
  <w:style w:type="paragraph" w:styleId="6">
    <w:name w:val="toc 1"/>
    <w:basedOn w:val="1"/>
    <w:next w:val="1"/>
    <w:qFormat/>
    <w:uiPriority w:val="0"/>
    <w:pPr>
      <w:spacing w:line="480" w:lineRule="auto"/>
    </w:pPr>
    <w:rPr>
      <w:rFonts w:asciiTheme="minorAscii" w:hAnsiTheme="minorAscii"/>
      <w:sz w:val="28"/>
      <w:szCs w:val="22"/>
    </w:rPr>
  </w:style>
  <w:style w:type="paragraph" w:styleId="7">
    <w:name w:val="Body Text First Indent"/>
    <w:basedOn w:val="5"/>
    <w:uiPriority w:val="0"/>
    <w:pPr>
      <w:ind w:firstLine="420" w:firstLineChars="100"/>
    </w:pPr>
  </w:style>
  <w:style w:type="character" w:customStyle="1" w:styleId="10">
    <w:name w:val="标题 2 字符"/>
    <w:basedOn w:val="9"/>
    <w:link w:val="2"/>
    <w:qFormat/>
    <w:uiPriority w:val="9"/>
    <w:rPr>
      <w:rFonts w:eastAsia="宋体" w:asciiTheme="majorAscii" w:hAnsiTheme="majorAscii" w:cstheme="majorBidi"/>
      <w:b/>
      <w:bCs/>
      <w:sz w:val="30"/>
      <w:szCs w:val="32"/>
    </w:rPr>
  </w:style>
  <w:style w:type="character" w:customStyle="1" w:styleId="11">
    <w:name w:val="标题 3 字符"/>
    <w:basedOn w:val="9"/>
    <w:link w:val="4"/>
    <w:qFormat/>
    <w:uiPriority w:val="9"/>
    <w:rPr>
      <w:rFonts w:ascii="Times New Roman" w:hAnsi="Times New Roman" w:eastAsia="宋体" w:cs="宋体"/>
      <w:b/>
      <w:bCs/>
      <w:sz w:val="28"/>
      <w:szCs w:val="32"/>
    </w:rPr>
  </w:style>
  <w:style w:type="character" w:customStyle="1" w:styleId="12">
    <w:name w:val="标题 1 Char"/>
    <w:link w:val="3"/>
    <w:qFormat/>
    <w:uiPriority w:val="0"/>
    <w:rPr>
      <w:rFonts w:ascii="宋体" w:hAnsi="宋体" w:eastAsia="宋体" w:cs="宋体"/>
      <w:b/>
      <w:bCs/>
      <w:sz w:val="32"/>
      <w:szCs w:val="32"/>
      <w:lang w:val="zh-CN" w:bidi="zh-CN"/>
    </w:rPr>
  </w:style>
  <w:style w:type="character" w:customStyle="1" w:styleId="13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2021-02-22T05:22:00Z</dcterms:created>
  <dc:creator>Administrator</dc:creator>
  <cp:lastModifiedBy>Administrator</cp:lastModifiedBy>
  <dcterms:modified xsi:type="dcterms:W3CDTF">2021-02-23T07:46:14Z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