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41"/>
          <w:tab w:val="left" w:pos="1257"/>
          <w:tab w:val="left" w:pos="2504"/>
          <w:tab w:val="left" w:pos="3885"/>
        </w:tabs>
        <w:snapToGrid w:val="0"/>
        <w:ind w:firstLine="0" w:firstLineChars="0"/>
        <w:jc w:val="left"/>
        <w:rPr>
          <w:rFonts w:hint="eastAsia" w:ascii="方正黑体简体" w:hAnsi="宋体" w:eastAsia="方正黑体简体" w:cs="宋体"/>
          <w:kern w:val="0"/>
          <w:sz w:val="32"/>
          <w:szCs w:val="32"/>
        </w:rPr>
      </w:pPr>
      <w:r>
        <w:rPr>
          <w:rFonts w:hint="eastAsia" w:ascii="方正黑体简体" w:hAnsi="宋体" w:eastAsia="方正黑体简体" w:cs="宋体"/>
          <w:kern w:val="0"/>
          <w:sz w:val="32"/>
          <w:szCs w:val="32"/>
        </w:rPr>
        <w:t>附件1</w:t>
      </w:r>
    </w:p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安康市执行的政府性基金目录清单</w:t>
      </w:r>
    </w:p>
    <w:bookmarkEnd w:id="0"/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1722"/>
        <w:gridCol w:w="1358"/>
        <w:gridCol w:w="5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序号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项目名称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资金管理方式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政策依据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5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国家重大水利工程建设基金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2009〕90号，财综〔2010〕97号，财税〔2010〕44号，财综〔2013〕103号，财税〔2015〕80号，财办税〔2015〕4号，财税〔2017〕51号，财办税〔2017〕60号，陕财税〔2017〕43号，财税〔2018〕39号，陕财税〔2018〕7号，财税〔2019〕46号，陕财税〔2019〕15号，陕财办税〔2020〕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5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水利建设基金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1998〕125号，财综〔2011〕2号，财综函〔2011〕33号，财办综〔2011〕111号，陕财办综〔2015〕154号，财税函〔2016〕291号，财税〔2016〕12号，财税〔2017〕18号，陕财办综〔2017〕17号，陕财办综〔2018〕3号，陕财办综〔2019〕25号，陕财办税〔2020〕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城市基础设施配套费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国发〔1998〕34号，计价格〔2001〕585号，财综函〔2002〕3号，陕价行发〔2005〕17号，陕价商发〔2012〕123号，财税〔2019〕53号，陕财税〔2019〕18号，财政部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农网还贷资金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财企〔2001〕820号，财企〔2002〕266号，财企〔2006〕347号，财综〔2007〕3号，财综〔2012〕7号，财综〔2013〕103号，财税〔2015〕59号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4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教育费附加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教育法》，国发〔1986〕50号（国务院令第60号修改发布），国发明电〔1994〕2号、23号，国发〔2010〕35号，财税〔2010〕103号，财税〔2016〕12号，财税〔2018〕70号，财税〔2019〕13号，财税〔2019〕21号，财税〔2019〕22号，陕财税〔2019〕5号，财税〔2019〕46号，陕财税〔2019〕15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7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地方教育附加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spacing w:val="-4"/>
                <w:kern w:val="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</w:rPr>
              <w:t>《教育法》，财综〔2001〕58号，财综函〔2003〕2号、9号、10号、12号、13号、14号、15号、16号、18号，财综〔2004〕73号，财综函〔2005〕33号，财综〔2006〕2号、61号，财综函〔2006〕9号，财综函〔2007〕45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陕政办发〔2011〕10号，财税〔2016〕12号，财税〔2018〕70号，财税〔2019〕13号，财税〔2019〕21号，财税〔2019〕22号，财税〔2019〕46号，陕财税〔2019〕5号，陕财税〔2019〕15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文化事业建设费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发〔1996〕37号，财预字〔1996〕469号，财文字〔1997〕243号，财税字〔1997〕95号，国办发〔2006〕43号，财综〔2012〕68号，财综〔2012〕96号，财综〔2013〕88号，财综〔2013〕102号，财税〔2016〕25号，财税〔2016〕60号，财税〔2019〕46号，陕财税〔2019〕15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国家电影事业发展专项资金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《电影管理条例》，国办发〔2006〕43号，财税〔2015〕91号，陕财办综〔2015〕172号，财教〔2016〕4号，财税〔2018〕67号，财政部 国家电影总局2020年第26号公告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水库移民扶持基金（含大中型水库移民后期扶持基金、大中型水库库区基金、三峡水库库区基金、小型水库移民扶助基金）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大中型水利水电工程建设征地补偿和移民安置条例》，监察部、人事部、财政部令第13号，国发〔2006〕17号，财综〔2006〕29号，财监〔2006〕95号，财综〔2007〕26号，财综〔2007〕69号，财综〔2008〕17号，财综〔2008〕29号、30号、31号、32号、33号、35号、64号、65号、66号、67号、68号、85号、86号、87号、88号、89号、90号，财综〔2009〕51号、59号，财综〔2010〕15号、16号、43号、113号，财综函〔2010〕10号、39号，财企〔2011〕303号，财企〔2012〕315号，财综〔2013〕103号，财税〔2015〕80号，财税〔2016〕11号，财税〔2016〕13号，财税〔2017〕18号，财税〔2017〕51号，财办税〔2017〕60号，财农〔2017〕128号，陕财税〔2017〕43号，财税〔2018〕39号，陕财税〔2018〕7号，陕价商发〔2018〕75号，陕财办税〔2020〕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残疾人就业保障金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残疾人保障法》，《残疾人就业条例》，财综字〔1995〕5号，财综〔2001〕16号，财综〔2001〕18号，财税〔2015〕72号，陕财办综〔2016〕85号，财税〔2017〕18号，陕财办综〔2017〕2号，陕财税〔2017〕17号，财税〔2018〕39号，陕财税〔2018〕7号，陕财办税〔2020〕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森林植被恢复费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《森林法》，《森林法实施条例》，财综〔2002〕73号，财税〔2015〕122号，陕财办综〔2016〕58号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港口建设费（我省未征）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国发〔1985〕124号，财综〔2011〕29号，财综〔2011〕100号，财综〔2012〕40号，财税〔2015〕131号</w:t>
            </w:r>
          </w:p>
        </w:tc>
      </w:tr>
    </w:tbl>
    <w:p>
      <w:pPr>
        <w:ind w:firstLine="400"/>
        <w:rPr>
          <w:rFonts w:hint="eastAsia" w:ascii="宋体" w:hAnsi="宋体" w:eastAsia="宋体"/>
        </w:rPr>
      </w:pPr>
    </w:p>
    <w:p>
      <w:pPr>
        <w:widowControl/>
        <w:tabs>
          <w:tab w:val="left" w:pos="641"/>
          <w:tab w:val="left" w:pos="1257"/>
          <w:tab w:val="left" w:pos="2504"/>
          <w:tab w:val="left" w:pos="3868"/>
        </w:tabs>
        <w:snapToGrid w:val="0"/>
        <w:ind w:firstLine="0" w:firstLineChars="0"/>
        <w:jc w:val="left"/>
        <w:rPr>
          <w:rFonts w:hint="eastAsia" w:ascii="方正黑体简体" w:hAnsi="宋体" w:eastAsia="方正黑体简体" w:cs="宋体"/>
          <w:kern w:val="0"/>
          <w:sz w:val="32"/>
          <w:szCs w:val="32"/>
        </w:rPr>
      </w:pPr>
    </w:p>
    <w:p>
      <w:pPr>
        <w:widowControl/>
        <w:tabs>
          <w:tab w:val="left" w:pos="641"/>
          <w:tab w:val="left" w:pos="1257"/>
          <w:tab w:val="left" w:pos="2504"/>
          <w:tab w:val="left" w:pos="3868"/>
        </w:tabs>
        <w:snapToGrid w:val="0"/>
        <w:ind w:firstLine="0" w:firstLineChars="0"/>
        <w:jc w:val="left"/>
        <w:rPr>
          <w:rFonts w:hint="eastAsia" w:ascii="方正黑体简体" w:hAnsi="宋体" w:eastAsia="方正黑体简体" w:cs="宋体"/>
          <w:kern w:val="0"/>
          <w:sz w:val="32"/>
          <w:szCs w:val="32"/>
        </w:rPr>
      </w:pPr>
    </w:p>
    <w:p>
      <w:pPr>
        <w:widowControl/>
        <w:tabs>
          <w:tab w:val="left" w:pos="641"/>
          <w:tab w:val="left" w:pos="1257"/>
          <w:tab w:val="left" w:pos="2504"/>
          <w:tab w:val="left" w:pos="3868"/>
        </w:tabs>
        <w:snapToGrid w:val="0"/>
        <w:ind w:firstLine="0" w:firstLineChars="0"/>
        <w:jc w:val="left"/>
        <w:rPr>
          <w:rFonts w:hint="eastAsia" w:ascii="方正黑体简体" w:hAnsi="宋体" w:eastAsia="方正黑体简体" w:cs="宋体"/>
          <w:kern w:val="0"/>
          <w:sz w:val="32"/>
          <w:szCs w:val="32"/>
        </w:rPr>
      </w:pPr>
    </w:p>
    <w:p>
      <w:pPr>
        <w:widowControl/>
        <w:tabs>
          <w:tab w:val="left" w:pos="641"/>
          <w:tab w:val="left" w:pos="1257"/>
          <w:tab w:val="left" w:pos="2504"/>
          <w:tab w:val="left" w:pos="3868"/>
        </w:tabs>
        <w:snapToGrid w:val="0"/>
        <w:ind w:firstLine="0" w:firstLineChars="0"/>
        <w:jc w:val="left"/>
        <w:rPr>
          <w:rFonts w:hint="eastAsia" w:ascii="方正黑体简体" w:hAnsi="宋体" w:eastAsia="方正黑体简体" w:cs="宋体"/>
          <w:kern w:val="0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815B4"/>
    <w:rsid w:val="715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2020-11-17T07:51:00Z</dcterms:created>
  <dc:creator>我是中国dota的希望</dc:creator>
  <cp:lastModifiedBy>我是中国dota的希望</cp:lastModifiedBy>
  <dcterms:modified xsi:type="dcterms:W3CDTF">2020-11-17T07:51:28Z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